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AF2" w:rsidRDefault="00EE5EC0">
      <w:pPr>
        <w:pStyle w:val="CRCoverPage"/>
        <w:rPr>
          <w:rFonts w:eastAsia="宋体"/>
          <w:b/>
          <w:sz w:val="24"/>
          <w:lang w:val="en-US" w:eastAsia="zh-CN"/>
        </w:rPr>
      </w:pPr>
      <w:r>
        <w:rPr>
          <w:b/>
          <w:sz w:val="24"/>
        </w:rPr>
        <w:t>3GPP TSG-RAN WG2 Meeting #1</w:t>
      </w:r>
      <w:r>
        <w:rPr>
          <w:b/>
          <w:sz w:val="24"/>
          <w:lang w:val="en-US"/>
        </w:rPr>
        <w:t>1</w:t>
      </w:r>
      <w:r>
        <w:rPr>
          <w:rFonts w:eastAsia="宋体" w:hint="eastAsia"/>
          <w:b/>
          <w:sz w:val="24"/>
          <w:lang w:val="en-US" w:eastAsia="zh-CN"/>
        </w:rPr>
        <w:t>1</w:t>
      </w:r>
      <w:r>
        <w:rPr>
          <w:b/>
          <w:sz w:val="24"/>
        </w:rPr>
        <w:t xml:space="preserve"> electronic</w:t>
      </w:r>
      <w:r>
        <w:rPr>
          <w:b/>
          <w:sz w:val="24"/>
        </w:rPr>
        <w:tab/>
      </w:r>
      <w:r>
        <w:rPr>
          <w:b/>
          <w:sz w:val="24"/>
        </w:rPr>
        <w:tab/>
      </w:r>
      <w:r>
        <w:rPr>
          <w:b/>
          <w:sz w:val="24"/>
          <w:lang w:val="en-US"/>
        </w:rPr>
        <w:tab/>
      </w:r>
      <w:r>
        <w:rPr>
          <w:b/>
          <w:sz w:val="24"/>
          <w:lang w:val="en-US"/>
        </w:rPr>
        <w:tab/>
      </w:r>
      <w:r>
        <w:rPr>
          <w:rFonts w:eastAsia="宋体" w:hint="eastAsia"/>
          <w:b/>
          <w:sz w:val="24"/>
          <w:lang w:val="en-US" w:eastAsia="zh-CN"/>
        </w:rPr>
        <w:t xml:space="preserve">        </w:t>
      </w:r>
      <w:r w:rsidR="005C006E">
        <w:rPr>
          <w:rFonts w:eastAsia="宋体"/>
          <w:b/>
          <w:sz w:val="24"/>
          <w:lang w:val="en-US" w:eastAsia="zh-CN"/>
        </w:rPr>
        <w:t xml:space="preserve"> </w:t>
      </w:r>
      <w:r>
        <w:rPr>
          <w:b/>
          <w:sz w:val="24"/>
        </w:rPr>
        <w:t>R2-200</w:t>
      </w:r>
      <w:r>
        <w:rPr>
          <w:rFonts w:eastAsia="宋体" w:hint="eastAsia"/>
          <w:b/>
          <w:sz w:val="24"/>
          <w:lang w:val="en-US" w:eastAsia="zh-CN"/>
        </w:rPr>
        <w:t>6901</w:t>
      </w:r>
    </w:p>
    <w:p w:rsidR="000C4AF2" w:rsidRDefault="00EE5EC0">
      <w:pPr>
        <w:pStyle w:val="CRCoverPage"/>
        <w:rPr>
          <w:rFonts w:cs="黑体"/>
          <w:b/>
          <w:sz w:val="24"/>
          <w:szCs w:val="24"/>
        </w:rPr>
      </w:pPr>
      <w:r>
        <w:rPr>
          <w:rFonts w:eastAsia="宋体" w:hint="eastAsia"/>
          <w:b/>
          <w:sz w:val="24"/>
          <w:lang w:val="en-US" w:eastAsia="zh-CN"/>
        </w:rPr>
        <w:t>Online</w:t>
      </w:r>
      <w:r>
        <w:rPr>
          <w:b/>
          <w:sz w:val="24"/>
        </w:rPr>
        <w:t xml:space="preserve">, </w:t>
      </w:r>
      <w:r>
        <w:rPr>
          <w:rFonts w:eastAsia="宋体" w:hint="eastAsia"/>
          <w:b/>
          <w:sz w:val="24"/>
          <w:lang w:val="en-US" w:eastAsia="zh-CN"/>
        </w:rPr>
        <w:t>August 17</w:t>
      </w:r>
      <w:r>
        <w:rPr>
          <w:rFonts w:eastAsia="宋体" w:hint="eastAsia"/>
          <w:b/>
          <w:sz w:val="24"/>
          <w:vertAlign w:val="superscript"/>
          <w:lang w:val="en-US" w:eastAsia="zh-CN"/>
        </w:rPr>
        <w:t>th</w:t>
      </w:r>
      <w:r>
        <w:rPr>
          <w:rFonts w:eastAsia="宋体" w:hint="eastAsia"/>
          <w:b/>
          <w:sz w:val="24"/>
          <w:lang w:val="en-US" w:eastAsia="zh-CN"/>
        </w:rPr>
        <w:t xml:space="preserve"> - 28</w:t>
      </w:r>
      <w:r>
        <w:rPr>
          <w:rFonts w:eastAsia="宋体" w:hint="eastAsia"/>
          <w:b/>
          <w:sz w:val="24"/>
          <w:vertAlign w:val="superscript"/>
          <w:lang w:val="en-US" w:eastAsia="zh-CN"/>
        </w:rPr>
        <w:t>th</w:t>
      </w:r>
      <w:r>
        <w:rPr>
          <w:rFonts w:eastAsia="宋体" w:hint="eastAsia"/>
          <w:b/>
          <w:sz w:val="24"/>
          <w:lang w:val="en-US" w:eastAsia="zh-CN"/>
        </w:rPr>
        <w:t>,</w:t>
      </w:r>
      <w:r>
        <w:rPr>
          <w:b/>
          <w:sz w:val="24"/>
          <w:lang w:val="en-US"/>
        </w:rPr>
        <w:t xml:space="preserve"> </w:t>
      </w:r>
      <w:r>
        <w:rPr>
          <w:b/>
          <w:sz w:val="24"/>
        </w:rPr>
        <w:t>2020</w:t>
      </w:r>
    </w:p>
    <w:p w:rsidR="000C4AF2" w:rsidRDefault="000C4AF2">
      <w:pPr>
        <w:overflowPunct w:val="0"/>
        <w:autoSpaceDE w:val="0"/>
        <w:autoSpaceDN w:val="0"/>
        <w:adjustRightInd w:val="0"/>
        <w:snapToGrid w:val="0"/>
        <w:jc w:val="left"/>
        <w:textAlignment w:val="baseline"/>
        <w:rPr>
          <w:rFonts w:ascii="Arial" w:hAnsi="Arial" w:cs="Arial"/>
          <w:b/>
          <w:bCs/>
          <w:snapToGrid w:val="0"/>
          <w:kern w:val="0"/>
          <w:sz w:val="24"/>
        </w:rPr>
      </w:pPr>
    </w:p>
    <w:p w:rsidR="000C4AF2" w:rsidRDefault="00EE5EC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0C4AF2" w:rsidRDefault="00EE5EC0">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Discussion on conditional PSCell addition/change</w:t>
      </w:r>
    </w:p>
    <w:p w:rsidR="000C4AF2" w:rsidRDefault="00EE5EC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Pr>
          <w:rFonts w:ascii="Arial" w:hAnsi="Arial" w:cs="Arial" w:hint="eastAsia"/>
          <w:b/>
          <w:bCs/>
          <w:snapToGrid w:val="0"/>
          <w:kern w:val="0"/>
          <w:sz w:val="24"/>
        </w:rPr>
        <w:t>8.2.3</w:t>
      </w:r>
    </w:p>
    <w:p w:rsidR="000C4AF2" w:rsidRDefault="00EE5EC0">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t xml:space="preserve">Discussion and </w:t>
      </w:r>
      <w:r>
        <w:rPr>
          <w:rFonts w:ascii="Arial" w:hAnsi="Arial" w:cs="Arial"/>
          <w:b/>
          <w:bCs/>
          <w:snapToGrid w:val="0"/>
          <w:kern w:val="0"/>
          <w:sz w:val="24"/>
        </w:rPr>
        <w:t>Decision</w:t>
      </w:r>
    </w:p>
    <w:p w:rsidR="000C4AF2" w:rsidRDefault="00EE5EC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0C4AF2" w:rsidRDefault="00EE5EC0">
      <w:pPr>
        <w:spacing w:before="120" w:after="0"/>
      </w:pPr>
      <w:bookmarkStart w:id="2" w:name="OLE_LINK1"/>
      <w:r>
        <w:t xml:space="preserve">For Rel-17 </w:t>
      </w:r>
      <w:r>
        <w:rPr>
          <w:rFonts w:hint="eastAsia"/>
        </w:rPr>
        <w:t>MR-DC/CA further</w:t>
      </w:r>
      <w:r>
        <w:t xml:space="preserve"> enhancement, the objective of WID (RP-201040) </w:t>
      </w:r>
      <w:r>
        <w:rPr>
          <w:rFonts w:hint="eastAsia"/>
        </w:rPr>
        <w:t>[1]</w:t>
      </w:r>
      <w:r w:rsidR="005C006E">
        <w:t xml:space="preserve"> </w:t>
      </w:r>
      <w:r>
        <w:t>includes:</w:t>
      </w:r>
    </w:p>
    <w:tbl>
      <w:tblPr>
        <w:tblStyle w:val="afc"/>
        <w:tblW w:w="9995" w:type="dxa"/>
        <w:tblLayout w:type="fixed"/>
        <w:tblLook w:val="04A0" w:firstRow="1" w:lastRow="0" w:firstColumn="1" w:lastColumn="0" w:noHBand="0" w:noVBand="1"/>
      </w:tblPr>
      <w:tblGrid>
        <w:gridCol w:w="9995"/>
      </w:tblGrid>
      <w:tr w:rsidR="000C4AF2">
        <w:tc>
          <w:tcPr>
            <w:tcW w:w="9995" w:type="dxa"/>
          </w:tcPr>
          <w:p w:rsidR="000C4AF2" w:rsidRDefault="00EE5EC0">
            <w:pPr>
              <w:spacing w:after="0"/>
              <w:ind w:left="360"/>
              <w:rPr>
                <w:bCs/>
              </w:rPr>
            </w:pPr>
            <w:r>
              <w:rPr>
                <w:rFonts w:hint="eastAsia"/>
                <w:bCs/>
              </w:rPr>
              <w:t xml:space="preserve">2. </w:t>
            </w:r>
            <w:r>
              <w:rPr>
                <w:bCs/>
              </w:rPr>
              <w:t>Support of conditional PSCell change</w:t>
            </w:r>
            <w:r>
              <w:rPr>
                <w:rFonts w:hint="eastAsia"/>
                <w:bCs/>
              </w:rPr>
              <w:t>/addition</w:t>
            </w:r>
            <w:r>
              <w:rPr>
                <w:bCs/>
              </w:rPr>
              <w:t xml:space="preserve"> [RAN2,RAN3, RAN4]</w:t>
            </w:r>
          </w:p>
          <w:p w:rsidR="000C4AF2" w:rsidRDefault="00EE5EC0">
            <w:pPr>
              <w:numPr>
                <w:ilvl w:val="0"/>
                <w:numId w:val="4"/>
              </w:numPr>
              <w:spacing w:after="0"/>
              <w:rPr>
                <w:bCs/>
                <w:lang w:eastAsia="en-US"/>
              </w:rPr>
            </w:pPr>
            <w:r>
              <w:rPr>
                <w:rFonts w:hint="eastAsia"/>
                <w:bCs/>
              </w:rPr>
              <w:t>support</w:t>
            </w:r>
            <w:r>
              <w:rPr>
                <w:bCs/>
              </w:rPr>
              <w:t xml:space="preserve"> scenarios which are not addressed in Rel-16 NR mobility WI</w:t>
            </w:r>
          </w:p>
        </w:tc>
      </w:tr>
    </w:tbl>
    <w:p w:rsidR="000C4AF2" w:rsidRDefault="00EE5EC0">
      <w:pPr>
        <w:spacing w:before="120" w:after="0"/>
        <w:rPr>
          <w:szCs w:val="21"/>
        </w:rPr>
      </w:pPr>
      <w:r>
        <w:rPr>
          <w:rFonts w:hint="eastAsia"/>
        </w:rPr>
        <w:t xml:space="preserve">In Rel-16, </w:t>
      </w:r>
      <w:r>
        <w:rPr>
          <w:rFonts w:hint="eastAsia"/>
        </w:rPr>
        <w:t>we have started the discussion for conditional PSCell addition/change (CPAC) and reached some agreements, as shown in the annex. However, due to the limited time, the applicable scenario is limited to intra-SN change without MN involvement. In Rel-17, we s</w:t>
      </w:r>
      <w:r>
        <w:rPr>
          <w:rFonts w:hint="eastAsia"/>
        </w:rPr>
        <w:t>hall further address scenarios for CPAC with MN involvement. In this contribution, we discussed applicable scenarios and general procedures for CPAC with MN involvement.</w:t>
      </w:r>
    </w:p>
    <w:p w:rsidR="000C4AF2" w:rsidRDefault="00EE5EC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Applicable scenarios</w:t>
      </w:r>
    </w:p>
    <w:bookmarkEnd w:id="2"/>
    <w:p w:rsidR="000C4AF2" w:rsidRDefault="00EE5EC0">
      <w:r>
        <w:rPr>
          <w:rFonts w:hint="eastAsia"/>
          <w:szCs w:val="21"/>
        </w:rPr>
        <w:t xml:space="preserve">At RAN2#107 meeting, </w:t>
      </w:r>
      <w:r>
        <w:rPr>
          <w:rFonts w:hint="eastAsia"/>
        </w:rPr>
        <w:t>the following</w:t>
      </w:r>
      <w:r>
        <w:t xml:space="preserve"> agreements </w:t>
      </w:r>
      <w:r>
        <w:rPr>
          <w:rFonts w:hint="eastAsia"/>
        </w:rPr>
        <w:t>were</w:t>
      </w:r>
      <w:r>
        <w:t xml:space="preserve"> made to suppor</w:t>
      </w:r>
      <w:r>
        <w:t xml:space="preserve">t </w:t>
      </w:r>
      <w:r>
        <w:rPr>
          <w:rFonts w:hint="eastAsia"/>
        </w:rPr>
        <w:t>CPAC</w:t>
      </w:r>
      <w:r>
        <w:t xml:space="preserve"> in Rel-16 reusing CHO solution as baseline</w:t>
      </w:r>
      <w:r>
        <w:rPr>
          <w:rFonts w:hint="eastAsia"/>
        </w:rPr>
        <w:t xml:space="preserve"> [2]</w:t>
      </w:r>
      <w:r>
        <w:t>.</w:t>
      </w:r>
      <w:r>
        <w:rPr>
          <w:rFonts w:hint="eastAsia"/>
        </w:rPr>
        <w:t xml:space="preserve"> And it was agreed to only support the MR-DC architecture option with NR PSCell.</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ind w:left="1621"/>
      </w:pPr>
      <w:r>
        <w:t>Agreements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ind w:left="1621"/>
      </w:pPr>
      <w:r>
        <w:t xml:space="preserve">1: </w:t>
      </w:r>
      <w:r>
        <w:tab/>
        <w:t>Support conditional NR PSCell addition/change and reusing the conditional HO solution being developed. Sup</w:t>
      </w:r>
      <w:r>
        <w:t>ported for any architecture option with NR PSCell.</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ind w:left="1621"/>
      </w:pPr>
      <w:r>
        <w:t>2</w:t>
      </w:r>
      <w:r>
        <w:tab/>
        <w:t>From RAN2 perspective conditional NR PSCell change can be supported for both intra-SN and inter-SN</w:t>
      </w:r>
    </w:p>
    <w:p w:rsidR="000C4AF2" w:rsidRDefault="00EE5EC0">
      <w:r>
        <w:rPr>
          <w:rFonts w:hint="eastAsia"/>
        </w:rPr>
        <w:t xml:space="preserve">Considering the limited TU allocated for </w:t>
      </w:r>
      <w:r>
        <w:t xml:space="preserve">Rel-17 </w:t>
      </w:r>
      <w:r>
        <w:rPr>
          <w:rFonts w:hint="eastAsia"/>
        </w:rPr>
        <w:t>MR-DC/CA further</w:t>
      </w:r>
      <w:r>
        <w:t xml:space="preserve"> enhancement</w:t>
      </w:r>
      <w:r>
        <w:rPr>
          <w:rFonts w:hint="eastAsia"/>
        </w:rPr>
        <w:t xml:space="preserve"> WI, it</w:t>
      </w:r>
      <w:r>
        <w:t>’</w:t>
      </w:r>
      <w:r>
        <w:rPr>
          <w:rFonts w:hint="eastAsia"/>
        </w:rPr>
        <w:t>s fine to follow the</w:t>
      </w:r>
      <w:r>
        <w:rPr>
          <w:rFonts w:hint="eastAsia"/>
        </w:rPr>
        <w:t xml:space="preserve"> same principle in Rel-16, i.e. support CPAC for any architecture option with NR PSCell. Namely, support CPAC for MR-DC architecture option of EN-DC, NGEN-DC and NR-DC, where the SN is the NR node.</w:t>
      </w:r>
    </w:p>
    <w:p w:rsidR="000C4AF2" w:rsidRDefault="00EE5EC0">
      <w:pPr>
        <w:spacing w:before="120"/>
        <w:rPr>
          <w:b/>
        </w:rPr>
      </w:pPr>
      <w:bookmarkStart w:id="3" w:name="_Ref20412207"/>
      <w:r>
        <w:rPr>
          <w:b/>
        </w:rPr>
        <w:t>Proposal</w:t>
      </w:r>
      <w:r>
        <w:rPr>
          <w:rFonts w:hint="eastAsia"/>
          <w:b/>
        </w:rPr>
        <w:t xml:space="preserve"> 1</w:t>
      </w:r>
      <w:r>
        <w:rPr>
          <w:b/>
        </w:rPr>
        <w:t xml:space="preserve">. Support </w:t>
      </w:r>
      <w:r>
        <w:rPr>
          <w:rFonts w:hint="eastAsia"/>
          <w:b/>
        </w:rPr>
        <w:t>c</w:t>
      </w:r>
      <w:r>
        <w:rPr>
          <w:b/>
        </w:rPr>
        <w:t xml:space="preserve">onditional PSCell addition/change for </w:t>
      </w:r>
      <w:r>
        <w:rPr>
          <w:rFonts w:hint="eastAsia"/>
          <w:b/>
        </w:rPr>
        <w:t xml:space="preserve">MR-DC architecture option of EN-DC, NGEN-DC and NR-DC, where the SN is </w:t>
      </w:r>
      <w:r>
        <w:rPr>
          <w:rFonts w:hint="eastAsia"/>
          <w:b/>
        </w:rPr>
        <w:t xml:space="preserve">the </w:t>
      </w:r>
      <w:r>
        <w:rPr>
          <w:rFonts w:hint="eastAsia"/>
          <w:b/>
        </w:rPr>
        <w:t>NR node.</w:t>
      </w:r>
      <w:bookmarkEnd w:id="3"/>
    </w:p>
    <w:p w:rsidR="000C4AF2" w:rsidRDefault="00EE5EC0">
      <w:pPr>
        <w:rPr>
          <w:bCs/>
          <w:iCs/>
        </w:rPr>
      </w:pPr>
      <w:r>
        <w:rPr>
          <w:rFonts w:hint="eastAsia"/>
          <w:bCs/>
          <w:iCs/>
        </w:rPr>
        <w:t>In Rel-16, we have finished the work for intra-SN change without MN involvement. So the leftover scenarios to be addressed in Rel-17 f</w:t>
      </w:r>
      <w:r>
        <w:rPr>
          <w:rFonts w:hint="eastAsia"/>
          <w:bCs/>
          <w:iCs/>
        </w:rPr>
        <w:t>ocus on CPAC with MN involvement, including conditional PSCell addition (CPA) and conditional PSCell change (CPC) with MN involvement. According to the MR-DC operation specified in TS 37.340 [3], the applicable scenarios for CPAC can be categorized into:</w:t>
      </w:r>
    </w:p>
    <w:p w:rsidR="000C4AF2" w:rsidRDefault="00EE5EC0">
      <w:pPr>
        <w:numPr>
          <w:ilvl w:val="0"/>
          <w:numId w:val="5"/>
        </w:numPr>
        <w:rPr>
          <w:bCs/>
          <w:iCs/>
        </w:rPr>
      </w:pPr>
      <w:r>
        <w:rPr>
          <w:rFonts w:hint="eastAsia"/>
          <w:bCs/>
          <w:iCs/>
        </w:rPr>
        <w:t>C</w:t>
      </w:r>
      <w:r>
        <w:rPr>
          <w:rFonts w:hint="eastAsia"/>
          <w:bCs/>
          <w:iCs/>
        </w:rPr>
        <w:t>ase 1: MN initiated CPA (i.e. conditional SN addition)</w:t>
      </w:r>
    </w:p>
    <w:p w:rsidR="000C4AF2" w:rsidRDefault="00EE5EC0">
      <w:pPr>
        <w:numPr>
          <w:ilvl w:val="0"/>
          <w:numId w:val="5"/>
        </w:numPr>
        <w:rPr>
          <w:bCs/>
          <w:iCs/>
        </w:rPr>
      </w:pPr>
      <w:r>
        <w:rPr>
          <w:rFonts w:hint="eastAsia"/>
          <w:bCs/>
          <w:iCs/>
        </w:rPr>
        <w:lastRenderedPageBreak/>
        <w:t>Case 2: SN initiated inter-SN CPC with MN involvement (i.e. SN initiated conditional SN change with MN involvement )</w:t>
      </w:r>
    </w:p>
    <w:p w:rsidR="000C4AF2" w:rsidRDefault="00EE5EC0">
      <w:pPr>
        <w:numPr>
          <w:ilvl w:val="0"/>
          <w:numId w:val="5"/>
        </w:numPr>
        <w:rPr>
          <w:bCs/>
          <w:iCs/>
        </w:rPr>
      </w:pPr>
      <w:r>
        <w:rPr>
          <w:rFonts w:hint="eastAsia"/>
          <w:bCs/>
          <w:iCs/>
        </w:rPr>
        <w:t>Case 3: MN initiated inter-SN CPC (i.e. MN initiated conditional SN change)</w:t>
      </w:r>
    </w:p>
    <w:p w:rsidR="000C4AF2" w:rsidRDefault="00EE5EC0">
      <w:pPr>
        <w:numPr>
          <w:ilvl w:val="0"/>
          <w:numId w:val="5"/>
        </w:numPr>
        <w:rPr>
          <w:bCs/>
          <w:iCs/>
        </w:rPr>
      </w:pPr>
      <w:r>
        <w:rPr>
          <w:rFonts w:hint="eastAsia"/>
          <w:bCs/>
          <w:iCs/>
        </w:rPr>
        <w:t xml:space="preserve">Case 4: </w:t>
      </w:r>
      <w:r>
        <w:rPr>
          <w:rFonts w:hint="eastAsia"/>
          <w:bCs/>
          <w:iCs/>
        </w:rPr>
        <w:t>SN initiated intra-SN CPC with MN involvement (i.e. SN initiated conditional SN modification with MN involvement)</w:t>
      </w:r>
    </w:p>
    <w:p w:rsidR="000C4AF2" w:rsidRDefault="00EE5EC0">
      <w:pPr>
        <w:rPr>
          <w:bCs/>
          <w:iCs/>
        </w:rPr>
      </w:pPr>
      <w:r>
        <w:rPr>
          <w:rFonts w:hint="eastAsia"/>
          <w:bCs/>
          <w:iCs/>
        </w:rPr>
        <w:t>Considering the PSCell addition and inter-SN PSCell change are more common cases in the realistic network and the main objective of CPAC is to</w:t>
      </w:r>
      <w:r>
        <w:rPr>
          <w:rFonts w:hint="eastAsia"/>
          <w:bCs/>
          <w:iCs/>
        </w:rPr>
        <w:t xml:space="preserve"> reduce the latency for PSCell addition/change (especially for the latency caused by the SN addition procedure), we propose to prioritize scenarios of conditional PSCell addition and inter-SN conditional PSCell change. </w:t>
      </w:r>
    </w:p>
    <w:p w:rsidR="000C4AF2" w:rsidRDefault="00EE5EC0">
      <w:pPr>
        <w:rPr>
          <w:b/>
          <w:iCs/>
        </w:rPr>
      </w:pPr>
      <w:r>
        <w:rPr>
          <w:rFonts w:hint="eastAsia"/>
          <w:b/>
          <w:iCs/>
        </w:rPr>
        <w:t>Proposal 2. Support the following sc</w:t>
      </w:r>
      <w:r>
        <w:rPr>
          <w:rFonts w:hint="eastAsia"/>
          <w:b/>
          <w:iCs/>
        </w:rPr>
        <w:t>enarios for CPAC and prioritize cases related to PSCell addition and inter-SN PSCell change (i.e. Case 1-3):</w:t>
      </w:r>
    </w:p>
    <w:p w:rsidR="000C4AF2" w:rsidRDefault="00EE5EC0">
      <w:pPr>
        <w:numPr>
          <w:ilvl w:val="0"/>
          <w:numId w:val="5"/>
        </w:numPr>
        <w:rPr>
          <w:b/>
          <w:iCs/>
        </w:rPr>
      </w:pPr>
      <w:r>
        <w:rPr>
          <w:rFonts w:hint="eastAsia"/>
          <w:b/>
          <w:iCs/>
        </w:rPr>
        <w:t>Case 1: MN initiated CPA (i.e. conditional SN addition)</w:t>
      </w:r>
    </w:p>
    <w:p w:rsidR="000C4AF2" w:rsidRDefault="00EE5EC0">
      <w:pPr>
        <w:numPr>
          <w:ilvl w:val="0"/>
          <w:numId w:val="5"/>
        </w:numPr>
        <w:rPr>
          <w:b/>
          <w:iCs/>
        </w:rPr>
      </w:pPr>
      <w:r>
        <w:rPr>
          <w:rFonts w:hint="eastAsia"/>
          <w:b/>
          <w:iCs/>
        </w:rPr>
        <w:t>Case 2: SN initiated inter-SN CPC with MN involvement (i.e. SN initiated conditional SN cha</w:t>
      </w:r>
      <w:r>
        <w:rPr>
          <w:rFonts w:hint="eastAsia"/>
          <w:b/>
          <w:iCs/>
        </w:rPr>
        <w:t>nge with MN involvement )</w:t>
      </w:r>
    </w:p>
    <w:p w:rsidR="000C4AF2" w:rsidRDefault="00EE5EC0">
      <w:pPr>
        <w:numPr>
          <w:ilvl w:val="0"/>
          <w:numId w:val="5"/>
        </w:numPr>
        <w:rPr>
          <w:b/>
          <w:iCs/>
        </w:rPr>
      </w:pPr>
      <w:r>
        <w:rPr>
          <w:rFonts w:hint="eastAsia"/>
          <w:b/>
          <w:iCs/>
        </w:rPr>
        <w:t>Case 3: MN initiated inter-SN CPC (i.e. MN initiated conditional SN change)</w:t>
      </w:r>
    </w:p>
    <w:p w:rsidR="000C4AF2" w:rsidRDefault="00EE5EC0">
      <w:pPr>
        <w:numPr>
          <w:ilvl w:val="0"/>
          <w:numId w:val="5"/>
        </w:numPr>
        <w:rPr>
          <w:b/>
          <w:iCs/>
        </w:rPr>
      </w:pPr>
      <w:r>
        <w:rPr>
          <w:rFonts w:hint="eastAsia"/>
          <w:b/>
          <w:iCs/>
        </w:rPr>
        <w:t>Case 4: SN initiated intra-SN CPC with MN involvement (i.e. SN initiated conditional SN modification with MN involvement)</w:t>
      </w:r>
    </w:p>
    <w:p w:rsidR="000C4AF2" w:rsidRDefault="00EE5EC0">
      <w:pPr>
        <w:rPr>
          <w:bCs/>
          <w:iCs/>
        </w:rPr>
      </w:pPr>
      <w:r>
        <w:rPr>
          <w:rFonts w:hint="eastAsia"/>
          <w:bCs/>
          <w:iCs/>
        </w:rPr>
        <w:t xml:space="preserve">Besides, we have discussed </w:t>
      </w:r>
      <w:r>
        <w:rPr>
          <w:rFonts w:hint="eastAsia"/>
          <w:bCs/>
          <w:iCs/>
        </w:rPr>
        <w:t>whether to support to configure CHO and CPAC simultaneously in Rel-16, but it was agreed that the coexistence of CHO and CPAC is not supported in Rel-16 due to the limited time. And it can be up to the NW to ensure that CHO and CPAC are not configured simu</w:t>
      </w:r>
      <w:r>
        <w:rPr>
          <w:rFonts w:hint="eastAsia"/>
          <w:bCs/>
          <w:iCs/>
        </w:rPr>
        <w:t>ltaneously. However, considering the CHO is related to mobility robustness and the CPAC is related to reducing latency of PSCell addition/change, we see some benefits to support CHO and CPAC simultaneously. For example, the NW can configure CHO with a cond</w:t>
      </w:r>
      <w:r>
        <w:rPr>
          <w:rFonts w:hint="eastAsia"/>
          <w:bCs/>
          <w:iCs/>
        </w:rPr>
        <w:t xml:space="preserve">itional PSCell addition, to avoid the blind SCG addition and reduce the delay of SCG addition after PCell change. Therefore, we propose RAN2 to further discuss whether to support the coexistence of CHO and CPAC, including the case of separate CHO and CPAC </w:t>
      </w:r>
      <w:r>
        <w:rPr>
          <w:rFonts w:hint="eastAsia"/>
          <w:bCs/>
          <w:iCs/>
        </w:rPr>
        <w:t>configuration or the case of combined CHO and CPAC configuration.</w:t>
      </w:r>
    </w:p>
    <w:p w:rsidR="000C4AF2" w:rsidRDefault="00EE5EC0">
      <w:pPr>
        <w:rPr>
          <w:b/>
          <w:iCs/>
        </w:rPr>
      </w:pPr>
      <w:r>
        <w:rPr>
          <w:rFonts w:hint="eastAsia"/>
          <w:b/>
          <w:iCs/>
        </w:rPr>
        <w:t>Proposal 3: RAN2 consider whether to support the coexistence of CHO and CPAC in Rel-17.</w:t>
      </w:r>
    </w:p>
    <w:p w:rsidR="000C4AF2" w:rsidRDefault="00EE5EC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General procedure</w:t>
      </w:r>
    </w:p>
    <w:p w:rsidR="000C4AF2" w:rsidRDefault="00EE5EC0">
      <w:pPr>
        <w:rPr>
          <w:bCs/>
          <w:iCs/>
        </w:rPr>
      </w:pPr>
      <w:r>
        <w:rPr>
          <w:rFonts w:hint="eastAsia"/>
          <w:bCs/>
          <w:iCs/>
        </w:rPr>
        <w:t>Compared to intra-SN CPC without MN involvement, the main difference of stage-2 proc</w:t>
      </w:r>
      <w:r>
        <w:rPr>
          <w:rFonts w:hint="eastAsia"/>
          <w:bCs/>
          <w:iCs/>
        </w:rPr>
        <w:t>edure for CPA and inter-SN CPC is the additional inter-node interaction between MN and target SN (e.g. SN addition procedure, SN release procedure), which mostly has impact on RAN3 specs. While for intra-SN CPC with MN involvement, the main procedure is ve</w:t>
      </w:r>
      <w:r>
        <w:rPr>
          <w:rFonts w:hint="eastAsia"/>
          <w:bCs/>
          <w:iCs/>
        </w:rPr>
        <w:t>ry similar to intra-SN CPC with MN involvement except the MN may have impact on the final RRC message for CPC configuration. Thus, from the perspective of RAN2, we can have a common framework for all CPAC cases and reuse the mechanism of intra-SN CPC witho</w:t>
      </w:r>
      <w:r>
        <w:rPr>
          <w:rFonts w:hint="eastAsia"/>
          <w:bCs/>
          <w:iCs/>
        </w:rPr>
        <w:t xml:space="preserve">ut MN involvement for CPAC with MN involvement as baseline, to save the complexity in both standardization and implementation.  </w:t>
      </w:r>
    </w:p>
    <w:p w:rsidR="000C4AF2" w:rsidRDefault="00EE5EC0">
      <w:pPr>
        <w:rPr>
          <w:b/>
          <w:iCs/>
        </w:rPr>
      </w:pPr>
      <w:r>
        <w:rPr>
          <w:rFonts w:hint="eastAsia"/>
          <w:b/>
          <w:iCs/>
        </w:rPr>
        <w:lastRenderedPageBreak/>
        <w:t>Proposal 4: Support to have a common framework for all CPAC cases. For CPAC with MN involvement, reusing the mechanism of intra</w:t>
      </w:r>
      <w:r>
        <w:rPr>
          <w:rFonts w:hint="eastAsia"/>
          <w:b/>
          <w:iCs/>
        </w:rPr>
        <w:t>-SN CPC without MN involvement as baseline.</w:t>
      </w:r>
    </w:p>
    <w:p w:rsidR="000C4AF2" w:rsidRDefault="00EE5EC0">
      <w:pPr>
        <w:rPr>
          <w:bCs/>
          <w:iCs/>
        </w:rPr>
      </w:pPr>
      <w:r>
        <w:rPr>
          <w:rFonts w:hint="eastAsia"/>
          <w:bCs/>
          <w:iCs/>
        </w:rPr>
        <w:t>At RAN2#107bis [4] and RAN2#108 meetings [5], we have reached some agreements for general CPAC cases as follows: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rPr>
          <w:b/>
          <w:i/>
          <w:iCs/>
        </w:rPr>
      </w:pPr>
      <w:r>
        <w:rPr>
          <w:rFonts w:hint="eastAsia"/>
          <w:b/>
          <w:i/>
          <w:iCs/>
        </w:rPr>
        <w:t>RAN2#107bis Chongqing</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rPr>
          <w:b/>
        </w:rPr>
      </w:pPr>
      <w:r>
        <w:rPr>
          <w:b/>
        </w:rPr>
        <w:t>Agreements</w:t>
      </w:r>
    </w:p>
    <w:p w:rsidR="000C4AF2" w:rsidRDefault="00EE5EC0">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after="0" w:line="260" w:lineRule="auto"/>
      </w:pPr>
      <w:r>
        <w:t>We will prioritize work in SN-initiated PSCell change for conditio</w:t>
      </w:r>
      <w:r>
        <w:t>nal PSCell change.</w:t>
      </w:r>
    </w:p>
    <w:p w:rsidR="000C4AF2" w:rsidRDefault="00EE5EC0">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spacing w:after="0" w:line="260" w:lineRule="auto"/>
      </w:pPr>
      <w:r>
        <w:t>Maintain Rel-15 principle that only one PScell is active at a time even with conditional PScell addition/change.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2</w:t>
      </w:r>
      <w:r>
        <w:tab/>
        <w:t>For conditional PScell addition, the MN decides on the conditional PScell addition execution condition. The condition is d</w:t>
      </w:r>
      <w:r>
        <w:t>efined by a measurement identity, given by a measurement configuration provided by the MN.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3</w:t>
      </w:r>
      <w:r>
        <w:tab/>
        <w:t>For conditional PScell change, execution condition may be decided by MN (MN-initiated) or SN (SN-initiated)</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4</w:t>
      </w:r>
      <w:r>
        <w:tab/>
      </w:r>
      <w:r>
        <w:t xml:space="preserve">For conditional PScell change, A3/A5 execution condition should be supported while for conditional PScell addition, A4/B1 like execution condition should be supported.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5</w:t>
      </w:r>
      <w:r>
        <w:tab/>
      </w:r>
      <w:r>
        <w:t xml:space="preserve">For conditional SN change, the source SN configuration can be used as the reference in generation of delta signalling for the candidate SNs. </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rPr>
          <w:b/>
        </w:rPr>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rPr>
          <w:b/>
          <w:i/>
          <w:iCs/>
        </w:rPr>
      </w:pPr>
      <w:r>
        <w:rPr>
          <w:rFonts w:hint="eastAsia"/>
          <w:b/>
          <w:i/>
          <w:iCs/>
        </w:rPr>
        <w:t>RAN2#108 Reno</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rPr>
          <w:b/>
        </w:rPr>
      </w:pPr>
      <w:r>
        <w:rPr>
          <w:b/>
        </w:rPr>
        <w:t>Agreements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1.</w:t>
      </w:r>
      <w:r>
        <w:tab/>
        <w:t>CPAC is defined as the UE having network configuration for initiating access to a can</w:t>
      </w:r>
      <w:r>
        <w:t xml:space="preserve">didate PSCell, either to consider the PSCell as suitable for SN addition or SN change including intra-SN change, based on configured condition(s).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2.</w:t>
      </w:r>
      <w:r>
        <w:tab/>
        <w:t>Usage of CPAC is decided by the network. The UE evaluates when the condition is valid.</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3.</w:t>
      </w:r>
      <w:r>
        <w:tab/>
        <w:t>Support config</w:t>
      </w:r>
      <w:r>
        <w:t>uration of one or more candidate cells for CPAC;</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o</w:t>
      </w:r>
      <w:r>
        <w:tab/>
        <w:t>FFS how many candidate cells (UE and network impacts should be clarified). FFS whether the number of candidate cells for CPAC different from that of CHO.</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5.</w:t>
      </w:r>
      <w:r>
        <w:tab/>
        <w:t xml:space="preserve"> Allow having multiple triggering conditions (us</w:t>
      </w:r>
      <w:r>
        <w:t>ing “and”) for CPAC execution of a single candidate cell. Only single RS type per CPAC candidate is supported. At most two triggering quantities (e.g. RSRP and RSRQ, RSRP and SINR, etc.) can be configured simultaneously.  FFS on UE capability</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6.</w:t>
      </w:r>
      <w:r>
        <w:tab/>
        <w:t xml:space="preserve">Define an </w:t>
      </w:r>
      <w:r>
        <w:t>execution condition for conditional PSCell change by the measurement identity which identifies a measurement configuration There is already an agreement for conditional PSCell addition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7.</w:t>
      </w:r>
      <w:r>
        <w:tab/>
        <w:t>Cell level quality is used as baseline for Conditional NR PSCell add</w:t>
      </w:r>
      <w:r>
        <w:t>ition/change execution condition;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g.</w:t>
      </w:r>
      <w:r>
        <w:tab/>
        <w:t xml:space="preserve">Only single RS type (SSB or CSI-RS) per candidate PSCell is supported for PSCell change.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h.</w:t>
      </w:r>
      <w:r>
        <w:tab/>
        <w:t>At most two triggering quantities (e.g. RSRP and RSRQ, RSRP and SINR, etc.) can be configured simultaneously. FFS on UE capabi</w:t>
      </w:r>
      <w:r>
        <w:t>lity.</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i.</w:t>
      </w:r>
      <w:r>
        <w:tab/>
        <w:t>TTT is supported for CPAC execution condition (as per legacy configuration)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8.</w:t>
      </w:r>
      <w:r>
        <w:tab/>
        <w:t>No additional optimizations with multi-beam operation are introduced to improve RACH performance for conditional PSCell addition/change completion with multi-beam opera</w:t>
      </w:r>
      <w:r>
        <w:t>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9.</w:t>
      </w:r>
      <w:r>
        <w:tab/>
        <w:t>For FR1 and FR2, leave it up to UE implementation to select the candidate PSCell if more than one candidate cell meets the triggering condition. UE may consider beam information in this.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10.</w:t>
      </w:r>
      <w:r>
        <w:tab/>
        <w:t>UE is not required to continue evaluating the triggering</w:t>
      </w:r>
      <w:r>
        <w:t xml:space="preserve"> condition of other candidate PSCell(s) during conditional SN execution. </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rPr>
          <w:b/>
        </w:rPr>
      </w:pPr>
      <w:r>
        <w:rPr>
          <w:b/>
        </w:rPr>
        <w:t>For PSCell addition: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4.</w:t>
      </w:r>
      <w:r>
        <w:tab/>
        <w:t>The baseline operation for CPAC procedure assumes the RRC Reconfiguration message contains SCG addition/change triggering condition(s) and the RRC configurat</w:t>
      </w:r>
      <w:r>
        <w:t xml:space="preserve">ion(s) for </w:t>
      </w:r>
      <w:r>
        <w:lastRenderedPageBreak/>
        <w:t>candidate target PSCells. The UE accesses the prepared PSCell when the relevant condition is met.</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a.</w:t>
      </w:r>
      <w:r>
        <w:tab/>
        <w:t xml:space="preserve">Multiple candidate PSCells can be sent in either one or multiple RRC messages.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b.</w:t>
      </w:r>
      <w:r>
        <w:tab/>
        <w:t>As part of the CPAC configuration to be sent to the UE, the R</w:t>
      </w:r>
      <w:r>
        <w:t>RC container is used to carry candidate PSCell configuration, and the MN is not allowed to alter any content of the configuration from the PSCell. moreover, in case of SN change, source SN is not allowed to alter any content of the configuration from the t</w:t>
      </w:r>
      <w:r>
        <w:t xml:space="preserve">arget SN.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c.</w:t>
      </w:r>
      <w:r>
        <w:tab/>
        <w:t xml:space="preserve">Use add/mod list + release list to configure multiple candidate PSCells.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d.</w:t>
      </w:r>
      <w:r>
        <w:tab/>
        <w:t>CPAC execution condition and/or candidate PSCell configuration can be updated by modifying the existing CPAC configuration.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e.</w:t>
      </w:r>
      <w:r>
        <w:tab/>
        <w:t xml:space="preserve">Reuse the </w:t>
      </w:r>
      <w:r>
        <w:t>RRCReconfiguration/RRCConnectionReconfiguration procedure to signal CPAC configuration to UE.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FFS handling of conditional SN addition associated to the SN terminated bearer.</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rPr>
          <w:b/>
        </w:rPr>
      </w:pPr>
      <w:r>
        <w:rPr>
          <w:b/>
        </w:rPr>
        <w:t>Agreements for CPAC configuration related proposals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2</w:t>
      </w:r>
      <w:r>
        <w:tab/>
        <w:t>For conditional PSCell addi</w:t>
      </w:r>
      <w:r>
        <w:t>tion, the MN transmits the final RRCReconfiguration/ RRCConnectionReconfiguration message to the UE, which includes the execution condition generated by the MN, and encapsulates the RRCReconfiguration provided by the candidate PSCells. FFS how the encapsul</w:t>
      </w:r>
      <w:r>
        <w:t>ation is done exactly (can be considered in Stage-3)</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3</w:t>
      </w:r>
      <w:r>
        <w:tab/>
        <w:t xml:space="preserve">SN decides on the condition for SN-initiated procedures and MN decides on the condition on MN-initiated procedures. </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FFS whether we need coordination on exact execution conditions or just measurements</w:t>
      </w:r>
      <w:r>
        <w:t>.</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FFS whether source or target SN knows the condition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FFS in which exact cases the condition needs to be indicated</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5</w:t>
      </w:r>
      <w:r>
        <w:tab/>
        <w:t>Both the execution condition and the configuration for the candidate PSCell (as a container) can be included in the RRCReconfiguration mes</w:t>
      </w:r>
      <w:r>
        <w:t>sage generated by the SN for intra-SN conditional PSCell change initiated by the SN (without MN involvement).</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r>
        <w:t>6</w:t>
      </w:r>
      <w:r>
        <w:tab/>
        <w:t>SRB1 can be used in all cases. SRB3 may be used to transmit conditional PScell change configuration to the UE for intra-SN change without MN in</w:t>
      </w:r>
      <w:r>
        <w:t>volvement.</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spacing w:after="0" w:line="260" w:lineRule="auto"/>
      </w:pPr>
    </w:p>
    <w:p w:rsidR="000C4AF2" w:rsidRDefault="00EE5EC0">
      <w:pPr>
        <w:rPr>
          <w:bCs/>
          <w:iCs/>
        </w:rPr>
      </w:pPr>
      <w:r>
        <w:rPr>
          <w:rFonts w:hint="eastAsia"/>
          <w:bCs/>
          <w:iCs/>
        </w:rPr>
        <w:t xml:space="preserve">The agreements above are mostly related to the general procedure for CPAC, e.g. the configuration of execution condition(s), the generation and transmission of CPAC configuration. In order to avoid the repetitive and unnecessary discussion for </w:t>
      </w:r>
      <w:r>
        <w:rPr>
          <w:rFonts w:hint="eastAsia"/>
          <w:bCs/>
          <w:iCs/>
        </w:rPr>
        <w:t>general CPAC procedure in Rel-17, we can firstly confirm agreements reached in RAN2#107bis and RAN2#108, and start the Rel-17 discussion from FFS issues.</w:t>
      </w:r>
    </w:p>
    <w:p w:rsidR="000C4AF2" w:rsidRDefault="00EE5EC0">
      <w:pPr>
        <w:rPr>
          <w:b/>
          <w:iCs/>
        </w:rPr>
      </w:pPr>
      <w:r>
        <w:rPr>
          <w:rFonts w:hint="eastAsia"/>
          <w:b/>
          <w:iCs/>
        </w:rPr>
        <w:t>Proposal 5: Confirm agreements for CPAC general procedure reached in RAN2#107bis and RAN2#108, and sta</w:t>
      </w:r>
      <w:r>
        <w:rPr>
          <w:rFonts w:hint="eastAsia"/>
          <w:b/>
          <w:iCs/>
        </w:rPr>
        <w:t>rt the Rel-17 discussion from FFS issues.</w:t>
      </w:r>
    </w:p>
    <w:p w:rsidR="000C4AF2" w:rsidRDefault="00EE5EC0">
      <w:pPr>
        <w:pStyle w:val="Doc-text2"/>
        <w:ind w:left="0" w:firstLine="0"/>
        <w:jc w:val="both"/>
        <w:rPr>
          <w:rFonts w:ascii="Times New Roman" w:eastAsiaTheme="minorEastAsia" w:hAnsi="Times New Roman"/>
          <w:bCs/>
          <w:iCs/>
          <w:kern w:val="2"/>
          <w:sz w:val="21"/>
          <w:lang w:val="en-US" w:eastAsia="zh-CN"/>
        </w:rPr>
      </w:pPr>
      <w:r>
        <w:rPr>
          <w:rFonts w:ascii="Times New Roman" w:eastAsiaTheme="minorEastAsia" w:hAnsi="Times New Roman" w:hint="eastAsia"/>
          <w:bCs/>
          <w:iCs/>
          <w:kern w:val="2"/>
          <w:sz w:val="21"/>
          <w:lang w:val="en-US" w:eastAsia="zh-CN"/>
        </w:rPr>
        <w:t>For CPA, it was agreed that the MN generates and transmits the final RRC message with encapsulated candidate PSCell configuration to the UE. However, for CPC with MN involvement, since the CPC procedure can be triggered by either the MN or the source SN, t</w:t>
      </w:r>
      <w:r>
        <w:rPr>
          <w:rFonts w:ascii="Times New Roman" w:eastAsiaTheme="minorEastAsia" w:hAnsi="Times New Roman" w:hint="eastAsia"/>
          <w:bCs/>
          <w:iCs/>
          <w:kern w:val="2"/>
          <w:sz w:val="21"/>
          <w:lang w:val="en-US" w:eastAsia="zh-CN"/>
        </w:rPr>
        <w:t>he final RRC message including candidate PSCell configuration and execution conditions is involved with both the MN and the source SN. So there is no consensus for the final RRC message to the UE has been reached in Rel-16 discussion, i.e. whether the MN o</w:t>
      </w:r>
      <w:r>
        <w:rPr>
          <w:rFonts w:ascii="Times New Roman" w:eastAsiaTheme="minorEastAsia" w:hAnsi="Times New Roman" w:hint="eastAsia"/>
          <w:bCs/>
          <w:iCs/>
          <w:kern w:val="2"/>
          <w:sz w:val="21"/>
          <w:lang w:val="en-US" w:eastAsia="zh-CN"/>
        </w:rPr>
        <w:t xml:space="preserve">r the source SN to generate and transmit the final RRC message with CPC configuration to the UE. </w:t>
      </w:r>
    </w:p>
    <w:p w:rsidR="000C4AF2" w:rsidRDefault="00EE5EC0">
      <w:pPr>
        <w:pStyle w:val="Doc-text2"/>
        <w:ind w:left="0" w:firstLine="0"/>
        <w:jc w:val="both"/>
        <w:rPr>
          <w:rFonts w:ascii="Times New Roman" w:eastAsiaTheme="minorEastAsia" w:hAnsi="Times New Roman"/>
          <w:bCs/>
          <w:iCs/>
          <w:kern w:val="2"/>
          <w:sz w:val="21"/>
          <w:lang w:val="en-US" w:eastAsia="zh-CN"/>
        </w:rPr>
      </w:pPr>
      <w:r>
        <w:rPr>
          <w:rFonts w:ascii="Times New Roman" w:eastAsiaTheme="minorEastAsia" w:hAnsi="Times New Roman" w:hint="eastAsia"/>
          <w:bCs/>
          <w:iCs/>
          <w:kern w:val="2"/>
          <w:sz w:val="21"/>
          <w:lang w:val="en-US" w:eastAsia="zh-CN"/>
        </w:rPr>
        <w:t xml:space="preserve">In our view, for CPC with MN involvement, the PSCell change will impact the configuration on MN side as well (e.g. DRB level configuration, and corresponding </w:t>
      </w:r>
      <w:r>
        <w:rPr>
          <w:rFonts w:ascii="Times New Roman" w:eastAsiaTheme="minorEastAsia" w:hAnsi="Times New Roman" w:hint="eastAsia"/>
          <w:bCs/>
          <w:iCs/>
          <w:kern w:val="2"/>
          <w:sz w:val="21"/>
          <w:lang w:val="en-US" w:eastAsia="zh-CN"/>
        </w:rPr>
        <w:t xml:space="preserve">cell group level configuration, including the reconfiguration for the purpose of capability coordination). To ensure the simultaneous activation of new configuration in both MN and </w:t>
      </w:r>
      <w:r>
        <w:rPr>
          <w:rFonts w:ascii="Times New Roman" w:eastAsiaTheme="minorEastAsia" w:hAnsi="Times New Roman" w:hint="eastAsia"/>
          <w:bCs/>
          <w:iCs/>
          <w:kern w:val="2"/>
          <w:sz w:val="21"/>
          <w:lang w:val="en-US" w:eastAsia="zh-CN"/>
        </w:rPr>
        <w:lastRenderedPageBreak/>
        <w:t>SN upon execution of CPC, the configuration for both MN and SN shall be del</w:t>
      </w:r>
      <w:r>
        <w:rPr>
          <w:rFonts w:ascii="Times New Roman" w:eastAsiaTheme="minorEastAsia" w:hAnsi="Times New Roman" w:hint="eastAsia"/>
          <w:bCs/>
          <w:iCs/>
          <w:kern w:val="2"/>
          <w:sz w:val="21"/>
          <w:lang w:val="en-US" w:eastAsia="zh-CN"/>
        </w:rPr>
        <w:t>ivered to UE together as a single candidate configuration. And the candidate configuration for PSCell change can be configured by a RRC reconfiguration message container generated by MN, in which both the configuration generated by MN and configuration gen</w:t>
      </w:r>
      <w:r>
        <w:rPr>
          <w:rFonts w:ascii="Times New Roman" w:eastAsiaTheme="minorEastAsia" w:hAnsi="Times New Roman" w:hint="eastAsia"/>
          <w:bCs/>
          <w:iCs/>
          <w:kern w:val="2"/>
          <w:sz w:val="21"/>
          <w:lang w:val="en-US" w:eastAsia="zh-CN"/>
        </w:rPr>
        <w:t xml:space="preserve">erated by SN will be included. Thus, we can have a common solution for both CPA and CPC with MN involvement, i.e. the MN generates and transmits the final </w:t>
      </w:r>
      <w:r>
        <w:rPr>
          <w:rFonts w:ascii="Times New Roman" w:eastAsiaTheme="minorEastAsia" w:hAnsi="Times New Roman" w:hint="eastAsia"/>
          <w:bCs/>
          <w:i/>
          <w:kern w:val="2"/>
          <w:sz w:val="21"/>
          <w:lang w:val="en-US" w:eastAsia="zh-CN"/>
        </w:rPr>
        <w:t>RRCReconfiguration/RRCConnectionReconfiguration</w:t>
      </w:r>
      <w:r>
        <w:rPr>
          <w:rFonts w:ascii="Times New Roman" w:eastAsiaTheme="minorEastAsia" w:hAnsi="Times New Roman" w:hint="eastAsia"/>
          <w:bCs/>
          <w:iCs/>
          <w:kern w:val="2"/>
          <w:sz w:val="21"/>
          <w:lang w:val="en-US" w:eastAsia="zh-CN"/>
        </w:rPr>
        <w:t xml:space="preserve"> message to the UE, which includes the execution condi</w:t>
      </w:r>
      <w:r>
        <w:rPr>
          <w:rFonts w:ascii="Times New Roman" w:eastAsiaTheme="minorEastAsia" w:hAnsi="Times New Roman" w:hint="eastAsia"/>
          <w:bCs/>
          <w:iCs/>
          <w:kern w:val="2"/>
          <w:sz w:val="21"/>
          <w:lang w:val="en-US" w:eastAsia="zh-CN"/>
        </w:rPr>
        <w:t xml:space="preserve">tion(s) generated by the MN or the SN, and encapsulates the </w:t>
      </w:r>
      <w:r>
        <w:rPr>
          <w:rFonts w:ascii="Times New Roman" w:eastAsiaTheme="minorEastAsia" w:hAnsi="Times New Roman" w:hint="eastAsia"/>
          <w:bCs/>
          <w:i/>
          <w:kern w:val="2"/>
          <w:sz w:val="21"/>
          <w:lang w:val="en-US" w:eastAsia="zh-CN"/>
        </w:rPr>
        <w:t>RRCReconfiguration</w:t>
      </w:r>
      <w:r>
        <w:rPr>
          <w:rFonts w:ascii="Times New Roman" w:eastAsiaTheme="minorEastAsia" w:hAnsi="Times New Roman" w:hint="eastAsia"/>
          <w:bCs/>
          <w:iCs/>
          <w:kern w:val="2"/>
          <w:sz w:val="21"/>
          <w:lang w:val="en-US" w:eastAsia="zh-CN"/>
        </w:rPr>
        <w:t xml:space="preserve"> provided by the candidate PSCell(s).</w:t>
      </w:r>
    </w:p>
    <w:p w:rsidR="000C4AF2" w:rsidRDefault="00EE5EC0">
      <w:pPr>
        <w:rPr>
          <w:b/>
          <w:iCs/>
        </w:rPr>
      </w:pPr>
      <w:r>
        <w:rPr>
          <w:rFonts w:hint="eastAsia"/>
          <w:b/>
          <w:iCs/>
        </w:rPr>
        <w:t xml:space="preserve">Proposal 6: In CPAC with MN involvement, the MN generates and transmits the final </w:t>
      </w:r>
      <w:r>
        <w:rPr>
          <w:rFonts w:hint="eastAsia"/>
          <w:b/>
          <w:i/>
        </w:rPr>
        <w:t>RRCReconfiguration/RRCConnectionReconfiguration</w:t>
      </w:r>
      <w:r>
        <w:rPr>
          <w:rFonts w:hint="eastAsia"/>
          <w:b/>
          <w:iCs/>
        </w:rPr>
        <w:t xml:space="preserve"> message to</w:t>
      </w:r>
      <w:r>
        <w:rPr>
          <w:rFonts w:hint="eastAsia"/>
          <w:b/>
          <w:iCs/>
        </w:rPr>
        <w:t xml:space="preserve"> the UE, which includes the execution condition(s) generated by the MN or the SN, and encapsulates the </w:t>
      </w:r>
      <w:r>
        <w:rPr>
          <w:rFonts w:hint="eastAsia"/>
          <w:b/>
          <w:i/>
        </w:rPr>
        <w:t>RRCReconfiguration</w:t>
      </w:r>
      <w:r>
        <w:rPr>
          <w:rFonts w:hint="eastAsia"/>
          <w:b/>
          <w:iCs/>
        </w:rPr>
        <w:t xml:space="preserve"> provided by the candidate PSCell(s).</w:t>
      </w:r>
    </w:p>
    <w:p w:rsidR="000C4AF2" w:rsidRDefault="00EE5EC0">
      <w:pPr>
        <w:rPr>
          <w:b/>
          <w:iCs/>
        </w:rPr>
      </w:pPr>
      <w:r>
        <w:rPr>
          <w:rFonts w:hint="eastAsia"/>
          <w:bCs/>
          <w:iCs/>
        </w:rPr>
        <w:t xml:space="preserve">However, in case of CPC initiated by the SN, the execution </w:t>
      </w:r>
      <w:r>
        <w:rPr>
          <w:rFonts w:hint="eastAsia"/>
          <w:bCs/>
          <w:iCs/>
        </w:rPr>
        <w:t>condition(s)</w:t>
      </w:r>
      <w:r>
        <w:rPr>
          <w:rFonts w:hint="eastAsia"/>
          <w:bCs/>
          <w:iCs/>
        </w:rPr>
        <w:t xml:space="preserve"> is decided by the source SN. If the proposal above is agreed, the MN shall include the execution </w:t>
      </w:r>
      <w:r>
        <w:rPr>
          <w:rFonts w:hint="eastAsia"/>
          <w:bCs/>
          <w:iCs/>
        </w:rPr>
        <w:t>condition(s)</w:t>
      </w:r>
      <w:r>
        <w:rPr>
          <w:rFonts w:hint="eastAsia"/>
          <w:bCs/>
          <w:iCs/>
        </w:rPr>
        <w:t xml:space="preserve"> into the final RRC message. So the source SN should transfer the execution </w:t>
      </w:r>
      <w:r>
        <w:rPr>
          <w:rFonts w:hint="eastAsia"/>
          <w:bCs/>
          <w:iCs/>
        </w:rPr>
        <w:t>condition(s)</w:t>
      </w:r>
      <w:r>
        <w:rPr>
          <w:rFonts w:hint="eastAsia"/>
          <w:bCs/>
          <w:iCs/>
        </w:rPr>
        <w:t xml:space="preserve"> to the MN to generate the final RRC message for CPC. And </w:t>
      </w:r>
      <w:r>
        <w:rPr>
          <w:rFonts w:hint="eastAsia"/>
          <w:bCs/>
          <w:iCs/>
        </w:rPr>
        <w:t xml:space="preserve">then it should be further discussed whether the MN needs to know the execution </w:t>
      </w:r>
      <w:r>
        <w:rPr>
          <w:rFonts w:hint="eastAsia"/>
          <w:bCs/>
          <w:iCs/>
        </w:rPr>
        <w:t>condition(s)</w:t>
      </w:r>
      <w:r>
        <w:rPr>
          <w:rFonts w:hint="eastAsia"/>
          <w:bCs/>
          <w:iCs/>
        </w:rPr>
        <w:t xml:space="preserve"> decided by the source SN or not, i.e. whether the execution </w:t>
      </w:r>
      <w:r>
        <w:rPr>
          <w:rFonts w:hint="eastAsia"/>
          <w:bCs/>
          <w:iCs/>
        </w:rPr>
        <w:t>condition(s)</w:t>
      </w:r>
      <w:r>
        <w:rPr>
          <w:rFonts w:hint="eastAsia"/>
          <w:bCs/>
          <w:iCs/>
        </w:rPr>
        <w:t xml:space="preserve"> is encapsulated into a container to the MN or not. For CPC initiated by the MN and CPA, it</w:t>
      </w:r>
      <w:r>
        <w:rPr>
          <w:bCs/>
          <w:iCs/>
        </w:rPr>
        <w:t>’</w:t>
      </w:r>
      <w:r>
        <w:rPr>
          <w:rFonts w:hint="eastAsia"/>
          <w:bCs/>
          <w:iCs/>
        </w:rPr>
        <w:t xml:space="preserve">s up to the MN to decide the execution </w:t>
      </w:r>
      <w:r>
        <w:rPr>
          <w:rFonts w:hint="eastAsia"/>
          <w:bCs/>
          <w:iCs/>
        </w:rPr>
        <w:t>condition(s)</w:t>
      </w:r>
      <w:r>
        <w:rPr>
          <w:rFonts w:hint="eastAsia"/>
          <w:bCs/>
          <w:iCs/>
        </w:rPr>
        <w:t xml:space="preserve"> and generate the final RRC message. So there is no need for the MN to indicate other involved entities (e.g. source/target SN) about the execution </w:t>
      </w:r>
      <w:r>
        <w:rPr>
          <w:rFonts w:hint="eastAsia"/>
          <w:bCs/>
          <w:iCs/>
        </w:rPr>
        <w:t>condition(s)</w:t>
      </w:r>
      <w:r>
        <w:rPr>
          <w:rFonts w:hint="eastAsia"/>
          <w:bCs/>
          <w:iCs/>
        </w:rPr>
        <w:t>, to avoid the unnecessary Xn/X2 signaling ov</w:t>
      </w:r>
      <w:r>
        <w:rPr>
          <w:rFonts w:hint="eastAsia"/>
          <w:bCs/>
          <w:iCs/>
        </w:rPr>
        <w:t>erhead.</w:t>
      </w:r>
    </w:p>
    <w:p w:rsidR="000C4AF2" w:rsidRDefault="00EE5EC0">
      <w:pPr>
        <w:rPr>
          <w:b/>
          <w:iCs/>
        </w:rPr>
      </w:pPr>
      <w:r>
        <w:rPr>
          <w:rFonts w:hint="eastAsia"/>
          <w:b/>
          <w:iCs/>
        </w:rPr>
        <w:t>Proposal 7: In SN initiated CPC with MN involvement, the source SN transfers the execution condition(s) to the MN. FFS: whether the execution condition(s) is encapsulated into a container to the MN or not.</w:t>
      </w:r>
    </w:p>
    <w:p w:rsidR="000C4AF2" w:rsidRDefault="00EE5EC0">
      <w:pPr>
        <w:rPr>
          <w:b/>
          <w:iCs/>
        </w:rPr>
      </w:pPr>
      <w:r>
        <w:rPr>
          <w:rFonts w:hint="eastAsia"/>
          <w:b/>
          <w:iCs/>
        </w:rPr>
        <w:t>Proposal 8: In MN initiated CPC and CPA, t</w:t>
      </w:r>
      <w:r>
        <w:rPr>
          <w:rFonts w:hint="eastAsia"/>
          <w:b/>
          <w:iCs/>
        </w:rPr>
        <w:t>he MN is not required to indicate the execution condition(s) to other involved entities (e.g. target SN, source SN).</w:t>
      </w:r>
    </w:p>
    <w:p w:rsidR="000C4AF2" w:rsidRDefault="00EE5EC0">
      <w:pPr>
        <w:rPr>
          <w:bCs/>
          <w:iCs/>
        </w:rPr>
      </w:pPr>
      <w:r>
        <w:rPr>
          <w:rFonts w:hint="eastAsia"/>
          <w:bCs/>
          <w:iCs/>
        </w:rPr>
        <w:t>In CPAC with MN involvement, it</w:t>
      </w:r>
      <w:r>
        <w:rPr>
          <w:bCs/>
          <w:iCs/>
        </w:rPr>
        <w:t>’</w:t>
      </w:r>
      <w:r>
        <w:rPr>
          <w:rFonts w:hint="eastAsia"/>
          <w:bCs/>
          <w:iCs/>
        </w:rPr>
        <w:t>s up to the MN to generate the final RRC message including the conditional reconfiguration container, in wh</w:t>
      </w:r>
      <w:r>
        <w:rPr>
          <w:rFonts w:hint="eastAsia"/>
          <w:bCs/>
          <w:iCs/>
        </w:rPr>
        <w:t xml:space="preserve">ich both the configuration generated by MN and configuration generated by SN will be included. Upon reception of </w:t>
      </w:r>
      <w:r>
        <w:rPr>
          <w:rFonts w:hint="eastAsia"/>
          <w:bCs/>
          <w:i/>
        </w:rPr>
        <w:t>RRCReconfiguration/RRCConnectionReconfiguration</w:t>
      </w:r>
      <w:r>
        <w:rPr>
          <w:rFonts w:hint="eastAsia"/>
          <w:bCs/>
          <w:iCs/>
        </w:rPr>
        <w:t xml:space="preserve"> message with CPAC configuration, the UE shall check the received MN RRC reconfiguration message</w:t>
      </w:r>
      <w:r>
        <w:rPr>
          <w:rFonts w:hint="eastAsia"/>
          <w:bCs/>
          <w:iCs/>
        </w:rPr>
        <w:t xml:space="preserve"> and execution condition(s) included in the message, but not need to check the RRC reconfiguration message included in the container. Thus, the UE shall just reply the </w:t>
      </w:r>
      <w:r>
        <w:rPr>
          <w:rFonts w:hint="eastAsia"/>
          <w:bCs/>
          <w:i/>
        </w:rPr>
        <w:t>RRCReconfiguration</w:t>
      </w:r>
      <w:r>
        <w:rPr>
          <w:rFonts w:hint="eastAsia"/>
          <w:bCs/>
          <w:i/>
        </w:rPr>
        <w:t>Complete</w:t>
      </w:r>
      <w:r>
        <w:rPr>
          <w:rFonts w:hint="eastAsia"/>
          <w:bCs/>
          <w:i/>
        </w:rPr>
        <w:t>/RRCConnectionReconfiguration</w:t>
      </w:r>
      <w:r>
        <w:rPr>
          <w:rFonts w:hint="eastAsia"/>
          <w:bCs/>
          <w:i/>
        </w:rPr>
        <w:t>Complete</w:t>
      </w:r>
      <w:r>
        <w:rPr>
          <w:rFonts w:hint="eastAsia"/>
          <w:bCs/>
          <w:iCs/>
        </w:rPr>
        <w:t xml:space="preserve"> message to the MN to inform that the message has been received, not including an embedded RRC complete message to the SN. Upon execution of CPAC, since the UE may apply the configuration generated by the MN and the configuration generated by the SN simult</w:t>
      </w:r>
      <w:r>
        <w:rPr>
          <w:rFonts w:hint="eastAsia"/>
          <w:bCs/>
          <w:iCs/>
        </w:rPr>
        <w:t xml:space="preserve">aneously, the UE needs to provide the RRC complete message to both the MN and the (target) SN. Thus, the UE shall reply the </w:t>
      </w:r>
      <w:r>
        <w:rPr>
          <w:rFonts w:hint="eastAsia"/>
          <w:bCs/>
          <w:i/>
        </w:rPr>
        <w:t>RRCReconfiguration</w:t>
      </w:r>
      <w:r>
        <w:rPr>
          <w:rFonts w:hint="eastAsia"/>
          <w:bCs/>
          <w:i/>
        </w:rPr>
        <w:t>Complete</w:t>
      </w:r>
      <w:r>
        <w:rPr>
          <w:rFonts w:hint="eastAsia"/>
          <w:bCs/>
          <w:i/>
        </w:rPr>
        <w:t>/RRCConnectionReconfiguration</w:t>
      </w:r>
      <w:r>
        <w:rPr>
          <w:rFonts w:hint="eastAsia"/>
          <w:bCs/>
          <w:i/>
        </w:rPr>
        <w:t>Complete</w:t>
      </w:r>
      <w:r>
        <w:rPr>
          <w:rFonts w:hint="eastAsia"/>
          <w:bCs/>
          <w:iCs/>
        </w:rPr>
        <w:t xml:space="preserve"> message to the MN including an embedded RRC complete</w:t>
      </w:r>
      <w:r>
        <w:rPr>
          <w:rFonts w:hint="eastAsia"/>
          <w:bCs/>
          <w:i/>
        </w:rPr>
        <w:t xml:space="preserve"> </w:t>
      </w:r>
      <w:r>
        <w:rPr>
          <w:rFonts w:hint="eastAsia"/>
          <w:bCs/>
          <w:iCs/>
        </w:rPr>
        <w:t xml:space="preserve">message to the </w:t>
      </w:r>
      <w:r>
        <w:rPr>
          <w:rFonts w:hint="eastAsia"/>
          <w:bCs/>
          <w:iCs/>
        </w:rPr>
        <w:t xml:space="preserve">SN, and then the MN informs the SN. </w:t>
      </w:r>
    </w:p>
    <w:p w:rsidR="000C4AF2" w:rsidRDefault="00EE5EC0">
      <w:pPr>
        <w:rPr>
          <w:b/>
          <w:iCs/>
        </w:rPr>
      </w:pPr>
      <w:r>
        <w:rPr>
          <w:rFonts w:hint="eastAsia"/>
          <w:b/>
          <w:iCs/>
        </w:rPr>
        <w:t xml:space="preserve">Proposal 9: In CPAC with MN involvement, upon reception of </w:t>
      </w:r>
      <w:r>
        <w:rPr>
          <w:rFonts w:hint="eastAsia"/>
          <w:b/>
          <w:i/>
        </w:rPr>
        <w:t>RRCReconfiguration/RRCConnectionReconfiguration</w:t>
      </w:r>
      <w:r>
        <w:rPr>
          <w:rFonts w:hint="eastAsia"/>
          <w:b/>
          <w:iCs/>
        </w:rPr>
        <w:t xml:space="preserve"> message with CPAC configuration, the UE shall reply the </w:t>
      </w:r>
      <w:r>
        <w:rPr>
          <w:rFonts w:hint="eastAsia"/>
          <w:b/>
          <w:i/>
        </w:rPr>
        <w:t>RRCReconfiguration</w:t>
      </w:r>
      <w:r>
        <w:rPr>
          <w:rFonts w:hint="eastAsia"/>
          <w:b/>
          <w:i/>
        </w:rPr>
        <w:t>Complete</w:t>
      </w:r>
      <w:r>
        <w:rPr>
          <w:rFonts w:hint="eastAsia"/>
          <w:b/>
          <w:i/>
        </w:rPr>
        <w:t>/RRCConnectionReconfiguration</w:t>
      </w:r>
      <w:r>
        <w:rPr>
          <w:rFonts w:hint="eastAsia"/>
          <w:b/>
          <w:i/>
        </w:rPr>
        <w:t>C</w:t>
      </w:r>
      <w:r>
        <w:rPr>
          <w:rFonts w:hint="eastAsia"/>
          <w:b/>
          <w:i/>
        </w:rPr>
        <w:t>omplete</w:t>
      </w:r>
      <w:r>
        <w:rPr>
          <w:rFonts w:hint="eastAsia"/>
          <w:b/>
          <w:iCs/>
        </w:rPr>
        <w:t xml:space="preserve"> message to the MN to inform that the message has been received, not including an embedded RRC complete message to the SN. </w:t>
      </w:r>
    </w:p>
    <w:p w:rsidR="000C4AF2" w:rsidRDefault="00EE5EC0">
      <w:pPr>
        <w:rPr>
          <w:b/>
          <w:iCs/>
        </w:rPr>
      </w:pPr>
      <w:r>
        <w:rPr>
          <w:rFonts w:hint="eastAsia"/>
          <w:b/>
          <w:iCs/>
        </w:rPr>
        <w:lastRenderedPageBreak/>
        <w:t xml:space="preserve">Proposal 10: In CPAC with MN involvement, upon execution of CPAC, the UE shall reply the </w:t>
      </w:r>
      <w:r>
        <w:rPr>
          <w:rFonts w:hint="eastAsia"/>
          <w:b/>
          <w:i/>
        </w:rPr>
        <w:t>RRCReconfiguration</w:t>
      </w:r>
      <w:r>
        <w:rPr>
          <w:rFonts w:hint="eastAsia"/>
          <w:b/>
          <w:i/>
        </w:rPr>
        <w:t>Complete</w:t>
      </w:r>
      <w:r>
        <w:rPr>
          <w:rFonts w:hint="eastAsia"/>
          <w:b/>
          <w:i/>
        </w:rPr>
        <w:t>/RRCConnec</w:t>
      </w:r>
      <w:r>
        <w:rPr>
          <w:rFonts w:hint="eastAsia"/>
          <w:b/>
          <w:i/>
        </w:rPr>
        <w:t>tionReconfiguration</w:t>
      </w:r>
      <w:r>
        <w:rPr>
          <w:rFonts w:hint="eastAsia"/>
          <w:b/>
          <w:i/>
        </w:rPr>
        <w:t>Complete</w:t>
      </w:r>
      <w:r>
        <w:rPr>
          <w:rFonts w:hint="eastAsia"/>
          <w:b/>
          <w:iCs/>
        </w:rPr>
        <w:t xml:space="preserve"> message to the MN including an embedded RRC complete message to the SN, and then the MN informs the SN. </w:t>
      </w:r>
    </w:p>
    <w:p w:rsidR="000C4AF2" w:rsidRDefault="00EE5EC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0C4AF2" w:rsidRDefault="00EE5EC0">
      <w:r>
        <w:t>In this contribution,</w:t>
      </w:r>
      <w:r>
        <w:rPr>
          <w:rFonts w:hint="eastAsia"/>
        </w:rPr>
        <w:t xml:space="preserve"> we </w:t>
      </w:r>
      <w:r>
        <w:rPr>
          <w:rFonts w:hint="eastAsia"/>
        </w:rPr>
        <w:t xml:space="preserve">discussed applicable scenarios and general procedures for CPAC with the </w:t>
      </w:r>
      <w:r>
        <w:rPr>
          <w:rFonts w:hint="eastAsia"/>
        </w:rPr>
        <w:t>following proposals:</w:t>
      </w:r>
    </w:p>
    <w:p w:rsidR="000C4AF2" w:rsidRDefault="00EE5EC0">
      <w:pPr>
        <w:spacing w:before="120"/>
        <w:rPr>
          <w:b/>
        </w:rPr>
      </w:pPr>
      <w:r>
        <w:rPr>
          <w:b/>
        </w:rPr>
        <w:t>Proposal</w:t>
      </w:r>
      <w:r>
        <w:rPr>
          <w:rFonts w:hint="eastAsia"/>
          <w:b/>
        </w:rPr>
        <w:t xml:space="preserve"> 1</w:t>
      </w:r>
      <w:r>
        <w:rPr>
          <w:b/>
        </w:rPr>
        <w:t xml:space="preserve">. Support </w:t>
      </w:r>
      <w:r>
        <w:rPr>
          <w:rFonts w:hint="eastAsia"/>
          <w:b/>
        </w:rPr>
        <w:t>c</w:t>
      </w:r>
      <w:r>
        <w:rPr>
          <w:b/>
        </w:rPr>
        <w:t xml:space="preserve">onditional PSCell addition/change for </w:t>
      </w:r>
      <w:r>
        <w:rPr>
          <w:rFonts w:hint="eastAsia"/>
          <w:b/>
        </w:rPr>
        <w:t xml:space="preserve">MR-DC architecture option of EN-DC, NGEN-DC and NR-DC, where the SN is </w:t>
      </w:r>
      <w:r>
        <w:rPr>
          <w:rFonts w:hint="eastAsia"/>
          <w:b/>
        </w:rPr>
        <w:t xml:space="preserve">the </w:t>
      </w:r>
      <w:r>
        <w:rPr>
          <w:rFonts w:hint="eastAsia"/>
          <w:b/>
        </w:rPr>
        <w:t>NR node.</w:t>
      </w:r>
    </w:p>
    <w:p w:rsidR="000C4AF2" w:rsidRDefault="00EE5EC0">
      <w:pPr>
        <w:rPr>
          <w:b/>
          <w:iCs/>
        </w:rPr>
      </w:pPr>
      <w:r>
        <w:rPr>
          <w:rFonts w:hint="eastAsia"/>
          <w:b/>
          <w:iCs/>
        </w:rPr>
        <w:t xml:space="preserve">Proposal 2. Support the following scenarios for CPAC and prioritize cases related to PSCell </w:t>
      </w:r>
      <w:r>
        <w:rPr>
          <w:rFonts w:hint="eastAsia"/>
          <w:b/>
          <w:iCs/>
        </w:rPr>
        <w:t>addition and inter-SN PSCell change (i.e. Case 1-3):</w:t>
      </w:r>
    </w:p>
    <w:p w:rsidR="000C4AF2" w:rsidRDefault="00EE5EC0">
      <w:pPr>
        <w:numPr>
          <w:ilvl w:val="0"/>
          <w:numId w:val="5"/>
        </w:numPr>
        <w:rPr>
          <w:b/>
          <w:iCs/>
        </w:rPr>
      </w:pPr>
      <w:r>
        <w:rPr>
          <w:rFonts w:hint="eastAsia"/>
          <w:b/>
          <w:iCs/>
        </w:rPr>
        <w:t>Case 1: MN initiated CPA (i.e. conditional SN addition)</w:t>
      </w:r>
    </w:p>
    <w:p w:rsidR="000C4AF2" w:rsidRDefault="00EE5EC0">
      <w:pPr>
        <w:numPr>
          <w:ilvl w:val="0"/>
          <w:numId w:val="5"/>
        </w:numPr>
        <w:rPr>
          <w:b/>
          <w:iCs/>
        </w:rPr>
      </w:pPr>
      <w:r>
        <w:rPr>
          <w:rFonts w:hint="eastAsia"/>
          <w:b/>
          <w:iCs/>
        </w:rPr>
        <w:t>Case 2: SN initiated inter-SN CPC with MN involvement (i.e. SN initiated conditional SN change with MN involvement )</w:t>
      </w:r>
    </w:p>
    <w:p w:rsidR="000C4AF2" w:rsidRDefault="00EE5EC0">
      <w:pPr>
        <w:numPr>
          <w:ilvl w:val="0"/>
          <w:numId w:val="5"/>
        </w:numPr>
        <w:rPr>
          <w:b/>
          <w:iCs/>
        </w:rPr>
      </w:pPr>
      <w:r>
        <w:rPr>
          <w:rFonts w:hint="eastAsia"/>
          <w:b/>
          <w:iCs/>
        </w:rPr>
        <w:t xml:space="preserve">Case 3: MN initiated inter-SN </w:t>
      </w:r>
      <w:r>
        <w:rPr>
          <w:rFonts w:hint="eastAsia"/>
          <w:b/>
          <w:iCs/>
        </w:rPr>
        <w:t>CPC (i.e. MN initiated conditional SN change)</w:t>
      </w:r>
    </w:p>
    <w:p w:rsidR="000C4AF2" w:rsidRDefault="00EE5EC0">
      <w:pPr>
        <w:numPr>
          <w:ilvl w:val="0"/>
          <w:numId w:val="5"/>
        </w:numPr>
        <w:rPr>
          <w:b/>
          <w:iCs/>
        </w:rPr>
      </w:pPr>
      <w:r>
        <w:rPr>
          <w:rFonts w:hint="eastAsia"/>
          <w:b/>
          <w:iCs/>
        </w:rPr>
        <w:t>Case 4: SN initiated intra-SN CPC with MN involvement (i.e. SN initiated conditional SN modification with MN involvement)</w:t>
      </w:r>
    </w:p>
    <w:p w:rsidR="000C4AF2" w:rsidRDefault="00EE5EC0">
      <w:pPr>
        <w:rPr>
          <w:b/>
          <w:iCs/>
        </w:rPr>
      </w:pPr>
      <w:r>
        <w:rPr>
          <w:rFonts w:hint="eastAsia"/>
          <w:b/>
          <w:iCs/>
        </w:rPr>
        <w:t>Proposal 3: RAN2 consider whether to support the coexistence of CHO and CPAC in Rel-17.</w:t>
      </w:r>
    </w:p>
    <w:p w:rsidR="000C4AF2" w:rsidRDefault="00EE5EC0">
      <w:pPr>
        <w:rPr>
          <w:b/>
          <w:iCs/>
        </w:rPr>
      </w:pPr>
      <w:r>
        <w:rPr>
          <w:rFonts w:hint="eastAsia"/>
          <w:b/>
          <w:iCs/>
        </w:rPr>
        <w:t>Proposal 4: Support to have a common framework for all CPAC cases. For CPAC with MN involvement, reusing the mechanism of intra-SN CPC without MN involvement as baseline.</w:t>
      </w:r>
    </w:p>
    <w:p w:rsidR="000C4AF2" w:rsidRDefault="00EE5EC0">
      <w:pPr>
        <w:rPr>
          <w:b/>
          <w:iCs/>
        </w:rPr>
      </w:pPr>
      <w:r>
        <w:rPr>
          <w:rFonts w:hint="eastAsia"/>
          <w:b/>
          <w:iCs/>
        </w:rPr>
        <w:t xml:space="preserve">Proposal 5: Confirm agreements for CPAC general procedure reached in RAN2#107bis and </w:t>
      </w:r>
      <w:r>
        <w:rPr>
          <w:rFonts w:hint="eastAsia"/>
          <w:b/>
          <w:iCs/>
        </w:rPr>
        <w:t>RAN2#108, and start the Rel-17 discussion from FFS issues.</w:t>
      </w:r>
    </w:p>
    <w:p w:rsidR="000C4AF2" w:rsidRDefault="00EE5EC0">
      <w:pPr>
        <w:rPr>
          <w:b/>
          <w:iCs/>
        </w:rPr>
      </w:pPr>
      <w:r>
        <w:rPr>
          <w:rFonts w:hint="eastAsia"/>
          <w:b/>
          <w:iCs/>
        </w:rPr>
        <w:t xml:space="preserve">Proposal 6: In CPAC with MN involvement, the MN generates and transmits the final </w:t>
      </w:r>
      <w:r>
        <w:rPr>
          <w:rFonts w:hint="eastAsia"/>
          <w:b/>
          <w:i/>
        </w:rPr>
        <w:t>RRCReconfiguration/RRCConnectionReconfiguration</w:t>
      </w:r>
      <w:r>
        <w:rPr>
          <w:rFonts w:hint="eastAsia"/>
          <w:b/>
          <w:iCs/>
        </w:rPr>
        <w:t xml:space="preserve"> message to the UE, which includes the execution condition(s) genera</w:t>
      </w:r>
      <w:r>
        <w:rPr>
          <w:rFonts w:hint="eastAsia"/>
          <w:b/>
          <w:iCs/>
        </w:rPr>
        <w:t xml:space="preserve">ted by the MN or the SN, and encapsulates the </w:t>
      </w:r>
      <w:r>
        <w:rPr>
          <w:rFonts w:hint="eastAsia"/>
          <w:b/>
          <w:i/>
        </w:rPr>
        <w:t>RRCReconfiguration</w:t>
      </w:r>
      <w:r>
        <w:rPr>
          <w:rFonts w:hint="eastAsia"/>
          <w:b/>
          <w:iCs/>
        </w:rPr>
        <w:t xml:space="preserve"> provided by the candidate PSCell(s).</w:t>
      </w:r>
    </w:p>
    <w:p w:rsidR="000C4AF2" w:rsidRDefault="00EE5EC0">
      <w:pPr>
        <w:rPr>
          <w:b/>
          <w:iCs/>
        </w:rPr>
      </w:pPr>
      <w:r>
        <w:rPr>
          <w:rFonts w:hint="eastAsia"/>
          <w:b/>
          <w:iCs/>
        </w:rPr>
        <w:t>Proposal 7: In SN initiated CPC with MN involvement, the source SN transfers the execution condition(s) to the MN. FFS: whether the execution condition(s)</w:t>
      </w:r>
      <w:r>
        <w:rPr>
          <w:rFonts w:hint="eastAsia"/>
          <w:b/>
          <w:iCs/>
        </w:rPr>
        <w:t xml:space="preserve"> is encapsulated into a container to the MN or not.</w:t>
      </w:r>
    </w:p>
    <w:p w:rsidR="000C4AF2" w:rsidRDefault="00EE5EC0">
      <w:pPr>
        <w:rPr>
          <w:b/>
          <w:iCs/>
        </w:rPr>
      </w:pPr>
      <w:r>
        <w:rPr>
          <w:rFonts w:hint="eastAsia"/>
          <w:b/>
          <w:iCs/>
        </w:rPr>
        <w:t>Proposal 8: In MN initiated CPC and CPA, the MN is not required to indicate the execution condition(s) to other involved entities (e.g. target SN, source SN).</w:t>
      </w:r>
    </w:p>
    <w:p w:rsidR="000C4AF2" w:rsidRDefault="00EE5EC0">
      <w:pPr>
        <w:rPr>
          <w:b/>
          <w:iCs/>
        </w:rPr>
      </w:pPr>
      <w:r>
        <w:rPr>
          <w:rFonts w:hint="eastAsia"/>
          <w:b/>
          <w:iCs/>
        </w:rPr>
        <w:t>Proposal 9: In CPAC with MN involvement, upon</w:t>
      </w:r>
      <w:r>
        <w:rPr>
          <w:rFonts w:hint="eastAsia"/>
          <w:b/>
          <w:iCs/>
        </w:rPr>
        <w:t xml:space="preserve"> reception of </w:t>
      </w:r>
      <w:r>
        <w:rPr>
          <w:rFonts w:hint="eastAsia"/>
          <w:b/>
          <w:i/>
        </w:rPr>
        <w:t>RRCReconfiguration/RRCConnectionReconfiguration</w:t>
      </w:r>
      <w:r>
        <w:rPr>
          <w:rFonts w:hint="eastAsia"/>
          <w:b/>
          <w:iCs/>
        </w:rPr>
        <w:t xml:space="preserve"> message with CPAC configuration, the UE shall reply the </w:t>
      </w:r>
      <w:r>
        <w:rPr>
          <w:rFonts w:hint="eastAsia"/>
          <w:b/>
          <w:i/>
        </w:rPr>
        <w:t>RRCReconfiguration</w:t>
      </w:r>
      <w:r>
        <w:rPr>
          <w:rFonts w:hint="eastAsia"/>
          <w:b/>
          <w:i/>
        </w:rPr>
        <w:t>Complete</w:t>
      </w:r>
      <w:r>
        <w:rPr>
          <w:rFonts w:hint="eastAsia"/>
          <w:b/>
          <w:i/>
        </w:rPr>
        <w:t>/RRCConnectionReconfiguration</w:t>
      </w:r>
      <w:r>
        <w:rPr>
          <w:rFonts w:hint="eastAsia"/>
          <w:b/>
          <w:i/>
        </w:rPr>
        <w:t>Complete</w:t>
      </w:r>
      <w:r>
        <w:rPr>
          <w:rFonts w:hint="eastAsia"/>
          <w:b/>
          <w:iCs/>
        </w:rPr>
        <w:t xml:space="preserve"> message to the MN to inform that the message has been received, not including an embedded RRC complete message to the SN. </w:t>
      </w:r>
    </w:p>
    <w:p w:rsidR="000C4AF2" w:rsidRDefault="00EE5EC0">
      <w:pPr>
        <w:rPr>
          <w:b/>
          <w:iCs/>
        </w:rPr>
      </w:pPr>
      <w:r>
        <w:rPr>
          <w:rFonts w:hint="eastAsia"/>
          <w:b/>
          <w:iCs/>
        </w:rPr>
        <w:lastRenderedPageBreak/>
        <w:t xml:space="preserve">Proposal 10: In CPAC with MN involvement, upon execution of CPAC, the UE shall reply the </w:t>
      </w:r>
      <w:r>
        <w:rPr>
          <w:rFonts w:hint="eastAsia"/>
          <w:b/>
          <w:i/>
        </w:rPr>
        <w:t>RRCReconfiguration</w:t>
      </w:r>
      <w:r>
        <w:rPr>
          <w:rFonts w:hint="eastAsia"/>
          <w:b/>
          <w:i/>
        </w:rPr>
        <w:t>Complete</w:t>
      </w:r>
      <w:r>
        <w:rPr>
          <w:rFonts w:hint="eastAsia"/>
          <w:b/>
          <w:i/>
        </w:rPr>
        <w:t>/RRCConnectionRec</w:t>
      </w:r>
      <w:r>
        <w:rPr>
          <w:rFonts w:hint="eastAsia"/>
          <w:b/>
          <w:i/>
        </w:rPr>
        <w:t>onfiguration</w:t>
      </w:r>
      <w:r>
        <w:rPr>
          <w:rFonts w:hint="eastAsia"/>
          <w:b/>
          <w:i/>
        </w:rPr>
        <w:t>Complete</w:t>
      </w:r>
      <w:r>
        <w:rPr>
          <w:rFonts w:hint="eastAsia"/>
          <w:b/>
          <w:iCs/>
        </w:rPr>
        <w:t xml:space="preserve"> message to the MN including an embedded RRC complete message to the SN, and then the MN informs the SN. </w:t>
      </w:r>
    </w:p>
    <w:p w:rsidR="000C4AF2" w:rsidRDefault="00EE5EC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bookmarkStart w:id="4" w:name="_GoBack"/>
      <w:bookmarkEnd w:id="4"/>
    </w:p>
    <w:p w:rsidR="000C4AF2" w:rsidRDefault="00EE5EC0">
      <w:pPr>
        <w:numPr>
          <w:ilvl w:val="0"/>
          <w:numId w:val="7"/>
        </w:numPr>
        <w:rPr>
          <w:lang w:val="en-GB"/>
        </w:rPr>
      </w:pPr>
      <w:r>
        <w:rPr>
          <w:rFonts w:hint="eastAsia"/>
        </w:rPr>
        <w:t>RP-201040, Revised WID on Further Multi-RAT Dual-Connectivity enhancements, Huawei</w:t>
      </w:r>
    </w:p>
    <w:p w:rsidR="000C4AF2" w:rsidRDefault="00EE5EC0">
      <w:pPr>
        <w:numPr>
          <w:ilvl w:val="0"/>
          <w:numId w:val="7"/>
        </w:numPr>
      </w:pPr>
      <w:r>
        <w:rPr>
          <w:rFonts w:hint="eastAsia"/>
        </w:rPr>
        <w:t>RAN2#107 chair notes</w:t>
      </w:r>
    </w:p>
    <w:p w:rsidR="000C4AF2" w:rsidRDefault="00EE5EC0">
      <w:pPr>
        <w:numPr>
          <w:ilvl w:val="0"/>
          <w:numId w:val="7"/>
        </w:numPr>
      </w:pPr>
      <w:r>
        <w:rPr>
          <w:rFonts w:hint="eastAsia"/>
        </w:rPr>
        <w:t xml:space="preserve">TS 37.340, v </w:t>
      </w:r>
      <w:r>
        <w:rPr>
          <w:rFonts w:hint="eastAsia"/>
        </w:rPr>
        <w:t>16.1.0</w:t>
      </w:r>
    </w:p>
    <w:p w:rsidR="000C4AF2" w:rsidRDefault="00EE5EC0">
      <w:pPr>
        <w:numPr>
          <w:ilvl w:val="0"/>
          <w:numId w:val="7"/>
        </w:numPr>
      </w:pPr>
      <w:r>
        <w:rPr>
          <w:rFonts w:hint="eastAsia"/>
        </w:rPr>
        <w:t>RAN2#107bis chair notes</w:t>
      </w:r>
    </w:p>
    <w:p w:rsidR="000C4AF2" w:rsidRDefault="00EE5EC0">
      <w:pPr>
        <w:numPr>
          <w:ilvl w:val="0"/>
          <w:numId w:val="7"/>
        </w:numPr>
      </w:pPr>
      <w:r>
        <w:rPr>
          <w:rFonts w:hint="eastAsia"/>
        </w:rPr>
        <w:t>RAN2#108 chair notes</w:t>
      </w:r>
    </w:p>
    <w:p w:rsidR="000C4AF2" w:rsidRDefault="00EE5EC0">
      <w:pPr>
        <w:pStyle w:val="1"/>
        <w:widowControl/>
        <w:pBdr>
          <w:top w:val="single" w:sz="12" w:space="3" w:color="auto"/>
        </w:pBdr>
        <w:tabs>
          <w:tab w:val="clear" w:pos="432"/>
        </w:tabs>
        <w:overflowPunct w:val="0"/>
        <w:autoSpaceDE w:val="0"/>
        <w:autoSpaceDN w:val="0"/>
        <w:adjustRightInd w:val="0"/>
        <w:spacing w:before="240" w:after="180" w:line="240" w:lineRule="auto"/>
        <w:ind w:left="0" w:firstLine="0"/>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Annex</w:t>
      </w:r>
    </w:p>
    <w:p w:rsidR="000C4AF2" w:rsidRDefault="00EE5EC0">
      <w:pPr>
        <w:pStyle w:val="2"/>
        <w:numPr>
          <w:ilvl w:val="1"/>
          <w:numId w:val="0"/>
        </w:numPr>
        <w:tabs>
          <w:tab w:val="clear" w:pos="575"/>
          <w:tab w:val="left" w:pos="432"/>
        </w:tabs>
      </w:pPr>
      <w:r>
        <w:t>R</w:t>
      </w:r>
      <w:r>
        <w:rPr>
          <w:rFonts w:eastAsia="宋体" w:hint="eastAsia"/>
          <w:lang w:val="en-US"/>
        </w:rPr>
        <w:t>AN2#107</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line="260" w:lineRule="auto"/>
        <w:ind w:left="1621"/>
      </w:pPr>
      <w:r>
        <w:t>Agreements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line="260" w:lineRule="auto"/>
        <w:ind w:left="1621"/>
      </w:pPr>
      <w:r>
        <w:t xml:space="preserve">1: </w:t>
      </w:r>
      <w:r>
        <w:tab/>
        <w:t>Support conditional NR PSCell addition/change and reusing the conditional HO solution being developed. Supported for any architecture option with NR PSCell.</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spacing w:line="260" w:lineRule="auto"/>
        <w:ind w:left="1621"/>
      </w:pPr>
      <w:r>
        <w:t>2</w:t>
      </w:r>
      <w:r>
        <w:tab/>
        <w:t>From RAN2 persp</w:t>
      </w:r>
      <w:r>
        <w:t>ective conditional NR PSCell change can be supported for both intra-SN and inter-SN</w:t>
      </w:r>
    </w:p>
    <w:p w:rsidR="000C4AF2" w:rsidRDefault="000C4AF2"/>
    <w:p w:rsidR="000C4AF2" w:rsidRDefault="00EE5EC0">
      <w:pPr>
        <w:pStyle w:val="2"/>
        <w:numPr>
          <w:ilvl w:val="1"/>
          <w:numId w:val="0"/>
        </w:numPr>
        <w:tabs>
          <w:tab w:val="clear" w:pos="575"/>
          <w:tab w:val="left" w:pos="432"/>
        </w:tabs>
        <w:snapToGrid w:val="0"/>
      </w:pPr>
      <w:r>
        <w:t>R</w:t>
      </w:r>
      <w:r>
        <w:rPr>
          <w:rFonts w:eastAsia="宋体" w:hint="eastAsia"/>
          <w:lang w:val="en-US"/>
        </w:rPr>
        <w:t>AN2#107bis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Agreements</w:t>
      </w:r>
    </w:p>
    <w:p w:rsidR="000C4AF2" w:rsidRDefault="00EE5EC0">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pPr>
      <w:r>
        <w:t>We will prioritize work in SN-initiated PSCell change for conditional PSCell change.</w:t>
      </w:r>
    </w:p>
    <w:p w:rsidR="000C4AF2" w:rsidRDefault="00EE5EC0">
      <w:pPr>
        <w:pStyle w:val="Doc-text2"/>
        <w:numPr>
          <w:ilvl w:val="0"/>
          <w:numId w:val="6"/>
        </w:numPr>
        <w:pBdr>
          <w:top w:val="single" w:sz="4" w:space="1" w:color="auto"/>
          <w:left w:val="single" w:sz="4" w:space="4" w:color="auto"/>
          <w:bottom w:val="single" w:sz="4" w:space="1" w:color="auto"/>
          <w:right w:val="single" w:sz="4" w:space="4" w:color="auto"/>
        </w:pBdr>
        <w:adjustRightInd w:val="0"/>
        <w:snapToGrid w:val="0"/>
      </w:pPr>
      <w:r>
        <w:t xml:space="preserve">Maintain Rel-15 principle that only one PScell is active at a </w:t>
      </w:r>
      <w:r>
        <w:t>time even with conditional PScell addition/change.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2</w:t>
      </w:r>
      <w:r>
        <w:tab/>
        <w:t>For conditional PScell addition, the MN decides on the conditional PScell addition execution condition. The condition is defined by a measurement identity, given by a measurement configuration provided b</w:t>
      </w:r>
      <w:r>
        <w:t>y the MN.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3</w:t>
      </w:r>
      <w:r>
        <w:tab/>
        <w:t>For conditional PScell change, execution condition may be decided by MN (MN-initiated) or SN (SN-initiated)</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4</w:t>
      </w:r>
      <w:r>
        <w:tab/>
        <w:t>For conditional PScell change, A3/A5 execution condition should be supported while for conditional PScell addition, A4/B1 like executi</w:t>
      </w:r>
      <w:r>
        <w:t xml:space="preserve">on condition should be supported.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5</w:t>
      </w:r>
      <w:r>
        <w:tab/>
        <w:t xml:space="preserve">For conditional SN change, the source SN configuration can be used as the reference in generation of delta signalling for the candidate SNs. </w:t>
      </w:r>
    </w:p>
    <w:p w:rsidR="000C4AF2" w:rsidRDefault="000C4AF2"/>
    <w:p w:rsidR="000C4AF2" w:rsidRDefault="00EE5EC0">
      <w:pPr>
        <w:pStyle w:val="2"/>
        <w:numPr>
          <w:ilvl w:val="1"/>
          <w:numId w:val="0"/>
        </w:numPr>
        <w:tabs>
          <w:tab w:val="clear" w:pos="575"/>
          <w:tab w:val="left" w:pos="432"/>
        </w:tabs>
        <w:snapToGrid w:val="0"/>
      </w:pPr>
      <w:r>
        <w:lastRenderedPageBreak/>
        <w:t>R</w:t>
      </w:r>
      <w:r>
        <w:rPr>
          <w:rFonts w:eastAsia="宋体" w:hint="eastAsia"/>
          <w:lang w:val="en-US"/>
        </w:rPr>
        <w:t>AN2#108</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Agreements</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1.</w:t>
      </w:r>
      <w:r>
        <w:tab/>
        <w:t>CPAC is defined as the UE having network configura</w:t>
      </w:r>
      <w:r>
        <w:t xml:space="preserve">tion for initiating access to a candidate PSCell, either to consider the PSCell as suitable for SN addition or SN change including intra-SN change, based on configured condition(s).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2.</w:t>
      </w:r>
      <w:r>
        <w:tab/>
        <w:t>Usage of CPAC is decided by the network. The UE evaluates when the co</w:t>
      </w:r>
      <w:r>
        <w:t>ndition is valid.</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3.</w:t>
      </w:r>
      <w:r>
        <w:tab/>
        <w:t>Support configuration of one or more candidate cells for CPAC;</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o</w:t>
      </w:r>
      <w:r>
        <w:tab/>
        <w:t>FFS how many candidate cells (UE and network impacts should be clarified). FFS whether the number of candidate cells for CPAC different from that of CHO.</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5.</w:t>
      </w:r>
      <w:r>
        <w:tab/>
        <w:t xml:space="preserve"> Allow having</w:t>
      </w:r>
      <w:r>
        <w:t xml:space="preserve"> multiple triggering conditions (using “and”) for CPAC execution of a single candidate cell. Only single RS type per CPAC candidate is supported. At most two triggering quantities (e.g. RSRP and RSRQ, RSRP and SINR, etc.) can be configured simultaneously. </w:t>
      </w:r>
      <w:r>
        <w:t xml:space="preserve"> FFS on UE capability</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6.</w:t>
      </w:r>
      <w:r>
        <w:tab/>
        <w:t>Define an execution condition for conditional PSCell change by the measurement identity which identifies a measurement configuration There is already an agreement for conditional PSCell addition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7.</w:t>
      </w:r>
      <w:r>
        <w:tab/>
        <w:t>Cell level quality is used as bas</w:t>
      </w:r>
      <w:r>
        <w:t>eline for Conditional NR PSCell addition/change execution condition;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g.</w:t>
      </w:r>
      <w:r>
        <w:tab/>
        <w:t xml:space="preserve">Only single RS type (SSB or CSI-RS) per candidate PSCell is supported for PSCell change.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h.</w:t>
      </w:r>
      <w:r>
        <w:tab/>
        <w:t xml:space="preserve">At most two triggering quantities (e.g. RSRP and RSRQ, RSRP and SINR, etc.) can be </w:t>
      </w:r>
      <w:r>
        <w:t>configured simultaneously. FFS on UE capability.</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i.</w:t>
      </w:r>
      <w:r>
        <w:tab/>
        <w:t>TTT is supported for CPAC execution condition (as per legacy configuration)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8.</w:t>
      </w:r>
      <w:r>
        <w:tab/>
        <w:t>No additional optimizations with multi-beam operation are introduced to improve RACH performance for conditional PSCell addit</w:t>
      </w:r>
      <w:r>
        <w:t>ion/change completion with multi-beam operation.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9.</w:t>
      </w:r>
      <w:r>
        <w:tab/>
        <w:t>For FR1 and FR2, leave it up to UE implementation to select the candidate PSCell if more than one candidate cell meets the triggering condition. UE may consider beam information in this.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10.</w:t>
      </w:r>
      <w:r>
        <w:tab/>
        <w:t>UE is not req</w:t>
      </w:r>
      <w:r>
        <w:t xml:space="preserve">uired to continue evaluating the triggering condition of other candidate PSCell(s) during conditional SN execution. </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For PSCell addition: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4.</w:t>
      </w:r>
      <w:r>
        <w:tab/>
        <w:t>The baseline operation for CPAC procedure assumes the RRC Reconfiguration message contains SCG addition/change tri</w:t>
      </w:r>
      <w:r>
        <w:t>ggering condition(s) and the RRC configuration(s) for candidate target PSCells. The UE accesses the prepared PSCell when the relevant condition is met.</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a.</w:t>
      </w:r>
      <w:r>
        <w:tab/>
        <w:t xml:space="preserve">Multiple candidate PSCells can be sent in either one or multiple RRC messages.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b.</w:t>
      </w:r>
      <w:r>
        <w:tab/>
        <w:t>As part of the CPA</w:t>
      </w:r>
      <w:r>
        <w:t xml:space="preserve">C configuration to be sent to the UE, the RRC container is used to carry candidate PSCell configuration, and the MN is not allowed to alter any content of the configuration from the PSCell. moreover, in case of SN change, source SN is not allowed to alter </w:t>
      </w:r>
      <w:r>
        <w:t xml:space="preserve">any content of the configuration from the target SN.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c.</w:t>
      </w:r>
      <w:r>
        <w:tab/>
        <w:t xml:space="preserve">Use add/mod list + release list to configure multiple candidate PSCells.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lastRenderedPageBreak/>
        <w:t>d.</w:t>
      </w:r>
      <w:r>
        <w:tab/>
        <w:t>CPAC execution condition and/or candidate PSCell configuration can be updated by modifying the existing CPAC configuration</w:t>
      </w:r>
      <w:r>
        <w:t>.</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e.</w:t>
      </w:r>
      <w:r>
        <w:tab/>
        <w:t>Reuse the RRCReconfiguration/RRCConnectionReconfiguration procedure to signal CPAC configuration to UE.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FFS handling of conditional SN addition associated to the SN terminated bearer.</w:t>
      </w:r>
    </w:p>
    <w:p w:rsidR="000C4AF2" w:rsidRDefault="000C4AF2">
      <w:pP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rPr>
      </w:pPr>
      <w:r>
        <w:rPr>
          <w:b/>
        </w:rPr>
        <w:t>Agreements for CPAC configuration related proposals</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rPr>
          <w:b/>
        </w:rPr>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2</w:t>
      </w:r>
      <w:r>
        <w:tab/>
        <w:t>For conditi</w:t>
      </w:r>
      <w:r>
        <w:t xml:space="preserve">onal PSCell addition, the MN transmits the final RRCReconfiguration/ RRCConnectionReconfiguration message to the UE, which includes the execution condition generated by the MN, and encapsulates the RRCReconfiguration provided by the candidate PSCells. FFS </w:t>
      </w:r>
      <w:r>
        <w:t>how the encapsulation is done exactly (can be considered in Stage-3)</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3</w:t>
      </w:r>
      <w:r>
        <w:tab/>
        <w:t xml:space="preserve">SN decides on the condition for SN-initiated procedures and MN decides on the condition on MN-initiated procedures.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FFS whether we need coordination on exact execution conditions or ju</w:t>
      </w:r>
      <w:r>
        <w:t>st measurements.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FFS whether source or target SN knows the condition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FFS in which exact cases the condition needs to be indicated</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5</w:t>
      </w:r>
      <w:r>
        <w:tab/>
        <w:t>Both the execution condition and the configuration for the candidate PSCell (as a container) can be included in the RRCRecon</w:t>
      </w:r>
      <w:r>
        <w:t>figuration message generated by the SN for intra-SN conditional PSCell change initiated by the SN (without MN involvement).</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6</w:t>
      </w:r>
      <w:r>
        <w:tab/>
        <w:t xml:space="preserve">SRB1 can be used in all cases. SRB3 may be used to transmit conditional PScell change configuration to the UE for intra-SN change </w:t>
      </w:r>
      <w:r>
        <w:t>without MN involvement.</w:t>
      </w:r>
    </w:p>
    <w:p w:rsidR="000C4AF2" w:rsidRDefault="000C4AF2">
      <w:pPr>
        <w:adjustRightInd w:val="0"/>
        <w:snapToGrid w:val="0"/>
      </w:pPr>
    </w:p>
    <w:p w:rsidR="000C4AF2" w:rsidRDefault="00EE5EC0">
      <w:pPr>
        <w:pStyle w:val="2"/>
        <w:numPr>
          <w:ilvl w:val="1"/>
          <w:numId w:val="0"/>
        </w:numPr>
        <w:tabs>
          <w:tab w:val="clear" w:pos="575"/>
          <w:tab w:val="left" w:pos="432"/>
        </w:tabs>
        <w:snapToGrid w:val="0"/>
      </w:pPr>
      <w:r>
        <w:t>R</w:t>
      </w:r>
      <w:r>
        <w:rPr>
          <w:rFonts w:eastAsia="宋体" w:hint="eastAsia"/>
          <w:lang w:val="en-US"/>
        </w:rPr>
        <w:t>AN2#109-e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bCs/>
        </w:rPr>
      </w:pPr>
      <w:r>
        <w:rPr>
          <w:b/>
          <w:bCs/>
        </w:rPr>
        <w:t>Agreements (3.3.2020)</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1)  Similar to CHO, the following applies to CPC-intra-SN configuration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ab/>
        <w:t>- Reuse the RRCReconfiguration/RRCConnectionReconfiguration procedure to signal CPC-intra-SN configuration to UE.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ab/>
        <w:t>-  The MN</w:t>
      </w:r>
      <w:r>
        <w:t xml:space="preserve"> is not allowed to alter any content of the configuration from the SN which is carried in an RRC container.</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ab/>
        <w:t>-  Multiple candidate PSCells can be sent in either one or multiple RRC messages.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ab/>
        <w:t>-  Use add/mod list + release list to configure multiple candida</w:t>
      </w:r>
      <w:r>
        <w:t>te PSCells.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ab/>
        <w:t>- CPC-intra-SN execution condition and/or candidate PSCell configuration can be updated by the SN (i.e. by modifying the existing CPC-intra-SN configuration).</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2) Once the CPC-intra-SN procedure is executed successfully, the UE releases all CP</w:t>
      </w:r>
      <w:r>
        <w:t>C-intra-SN configurations stored on the UE side.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lastRenderedPageBreak/>
        <w:t>3) Upon the successful completion of conventional PSCell change procedure, the UE releases all CPC-intra –SN configurations.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4) The SCG failure information procedure can be used for CPC-intra-SN procedure fa</w:t>
      </w:r>
      <w:r>
        <w:t>ilure (due to RLF, T304-like timer expiry or compliance check failure).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6) If SRB3 is not configured, the UE first informs the MN that the message has been received. Then the UE needs to provide the CPC complete message to the SN via the MN upon CPC execut</w:t>
      </w:r>
      <w:r>
        <w: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7) CPC reuses the IE defined for CHO. The field name of the IE could be changed to reflect that the IE is used for both CHO and CPC.</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FFS: 5)  In case of SRB3, the MN is not informed of CPC-intra-SN execution by the UE.</w:t>
      </w:r>
    </w:p>
    <w:p w:rsidR="000C4AF2" w:rsidRDefault="000C4AF2">
      <w:pPr>
        <w:pStyle w:val="Doc-text2"/>
        <w:adjustRightInd w:val="0"/>
        <w:snapToGrid w:val="0"/>
        <w:ind w:left="0" w:firstLine="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bCs/>
        </w:rPr>
      </w:pPr>
      <w:r>
        <w:rPr>
          <w:b/>
          <w:bCs/>
        </w:rPr>
        <w:t>Agreements (3.3.2020)</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rPr>
          <w:b/>
          <w:bCs/>
        </w:rPr>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Proposals from offline discussion [AT1092] [215]:</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S1_1:  While executing CPC procedure, the UE continues to receive RRC reconfiguration from the MN. However, the UE should finalise the ongoing CPC execution before processing the RRC message received from t</w:t>
      </w:r>
      <w:r>
        <w:t xml:space="preserve">he MN (same as in the conventional PSCell change). i.e. legacy behaviour and no specific UE requirement.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 xml:space="preserve">S1_2: As in legacy PSCell change, the UE sends RRCReconfigurationComplete to the MN at execution of CPC when no SRB3 is configured and the MN informs </w:t>
      </w:r>
      <w:r>
        <w:t>the SN. i.e the complete message to MN includes an embedded complete message to the SN.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S1_3: The UE sends RRCReconfigurationComplete to the MN at configuration of CPC when no SRB3 is configured and the MN informs the SN. i.e. the complete message to the M</w:t>
      </w:r>
      <w:r>
        <w:t>N includes an embedded complete message to the SN.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bCs/>
        </w:rPr>
      </w:pPr>
      <w:r>
        <w:rPr>
          <w:b/>
          <w:bCs/>
        </w:rPr>
        <w:t>Agreements (3.3.2020)</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S1_4. Upon RLF on PCell during the execution of Conditional PSCell change for intra-SN change without MN involvement, the UE supports the Rel-16 MR-DC procedures, i.e. performs connec</w:t>
      </w:r>
      <w:r>
        <w:t>tion re-establishment procedure without any fast MCG link recovery.</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S1_5:</w:t>
      </w:r>
      <w:r>
        <w:tab/>
        <w:t>Support of CHO and CPC-intra-SN configuration simultaneously is not considered in Rel-16. Leave it up to the network solution to ensure there is no simultaneous CHO and CPC configura</w:t>
      </w:r>
      <w:r>
        <w:t xml:space="preserve">tion.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S2_6:  Reconfirm the use of SCG failure information upon declaring SCG failure in the procedure of the conditional PSCell change.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Agreements (3.3.2020)</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 xml:space="preserve">S2_7. When the conditional PSCell configuration received over SRB3 is invalid, UE initiates SCG </w:t>
      </w:r>
      <w:r>
        <w:t>failure information procedure to report to the MN about the SN change failure due to invalid configuration (legacy procedure).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S2_9. Like CHO, UE shall follow the below procedures for handling the T310 and T304 timers during conditional PSCell addition/cha</w:t>
      </w:r>
      <w:r>
        <w:t>nge procedure for EN-DC, NGEN-DC, NR-DC cases: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w:t>
      </w:r>
      <w:r>
        <w:tab/>
        <w:t xml:space="preserve">UE shall not stop MN T310 or SN T310 and shall not start T304 when it receives configuration of a CPC-intra-SN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lastRenderedPageBreak/>
        <w:t>•</w:t>
      </w:r>
      <w:r>
        <w:tab/>
        <w:t xml:space="preserve">The timer T310 (SN only in case of SN Change) is stopped and timer T304-like is started when </w:t>
      </w:r>
      <w:r>
        <w:t xml:space="preserve">the UE begins execution of a CPC-intra-SN.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S3_11. UE checks the validity of conditional PSCell change execution criteria configuration immediately on receiving the conditional PSCell change RRC Reconfiguration message, either embedded in the MN RRC messag</w:t>
      </w:r>
      <w:r>
        <w:t>e over SRB1 or received over SRB3 (same as CHO).</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S3_12. Introduce no specification changes regarding compliance checking of embedded Reconfiguration message containing configuration of conditional PSCell candidate (same as for CHO).</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bCs/>
        </w:rPr>
      </w:pPr>
      <w:r>
        <w:rPr>
          <w:b/>
          <w:bCs/>
        </w:rPr>
        <w:t>Agreements (3.3.2020)</w:t>
      </w:r>
    </w:p>
    <w:p w:rsidR="000C4AF2" w:rsidRDefault="000C4AF2">
      <w:pPr>
        <w:pStyle w:val="Doc-text2"/>
        <w:pBdr>
          <w:top w:val="single" w:sz="4" w:space="1" w:color="auto"/>
          <w:left w:val="single" w:sz="4" w:space="4" w:color="auto"/>
          <w:bottom w:val="single" w:sz="4" w:space="1" w:color="auto"/>
          <w:right w:val="single" w:sz="4" w:space="4" w:color="auto"/>
        </w:pBdr>
        <w:adjustRightInd w:val="0"/>
        <w:snapToGrid w:val="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S2_8. If UE cannot comply with the embedded PSCell configuration for intra-SN Change, UE performs connection re-establishment procedure or actions upon going to RRC_IDLE (legacy procedure).</w:t>
      </w:r>
    </w:p>
    <w:p w:rsidR="000C4AF2" w:rsidRDefault="000C4AF2">
      <w:pPr>
        <w:adjustRightInd w:val="0"/>
        <w:snapToGrid w:val="0"/>
      </w:pPr>
    </w:p>
    <w:p w:rsidR="000C4AF2" w:rsidRDefault="00EE5EC0">
      <w:pPr>
        <w:pStyle w:val="2"/>
        <w:numPr>
          <w:ilvl w:val="1"/>
          <w:numId w:val="0"/>
        </w:numPr>
        <w:tabs>
          <w:tab w:val="clear" w:pos="575"/>
          <w:tab w:val="left" w:pos="432"/>
        </w:tabs>
        <w:snapToGrid w:val="0"/>
      </w:pPr>
      <w:r>
        <w:t>R</w:t>
      </w:r>
      <w:r>
        <w:rPr>
          <w:rFonts w:eastAsia="宋体" w:hint="eastAsia"/>
          <w:lang w:val="en-US"/>
        </w:rPr>
        <w:t>AN2#109bis-e</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bCs/>
        </w:rPr>
      </w:pPr>
      <w:r>
        <w:rPr>
          <w:b/>
          <w:bCs/>
        </w:rPr>
        <w:t>Agreements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1</w:t>
      </w:r>
      <w:r>
        <w:tab/>
        <w:t xml:space="preserve">The UE does not inform the MN when </w:t>
      </w:r>
      <w:r>
        <w:t>CPC execution condition is fulfilled and the UE starts executing CPC, when CPC configuration is provided over SRB3.</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2</w:t>
      </w:r>
      <w:r>
        <w:tab/>
        <w:t>A threshold parameter is not introduced to determine PCell quality for execution of CPC.</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 xml:space="preserve">3 </w:t>
      </w:r>
      <w:r>
        <w:tab/>
        <w:t>Upon transmission of SCG failure information t</w:t>
      </w:r>
      <w:r>
        <w:t>o the network, the UE stops evaluating the CPC execution criteria according to the current CPC configuration until a response is received from the network.</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 xml:space="preserve">4 </w:t>
      </w:r>
      <w:r>
        <w:tab/>
        <w:t>Whether the UE continue measurements for candidate PSCells configured for execution condition upo</w:t>
      </w:r>
      <w:r>
        <w:t>n CPC failure is left to the UE implementation.</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5</w:t>
      </w:r>
      <w:r>
        <w:tab/>
        <w:t>The content of FailureReportSCG for CPC procedure failure should include failureType, measResultFreqList and measuResultSCG-Failure. These parameters are set according to the exiting SCGFailureInformation p</w:t>
      </w:r>
      <w:r>
        <w:t>rocedure. (same as legacy)</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7</w:t>
      </w:r>
      <w:r>
        <w:tab/>
        <w:t>Use ULInformationTransferMRDC instead of RRCReconfigurationComplete message to inform the network of CPC execution when no SRB3 is configured and the MN informs the SN, i.e. ULInformationTransferMRDC message to MN includes an e</w:t>
      </w:r>
      <w:r>
        <w:t>mbedded RRCReconfigurationComplete message to the SN. This applies to both NR MN and LTE MN. (change of previous agreement).</w:t>
      </w:r>
    </w:p>
    <w:p w:rsidR="000C4AF2" w:rsidRDefault="000C4AF2">
      <w:pPr>
        <w:pStyle w:val="Doc-text2"/>
        <w:adjustRightInd w:val="0"/>
        <w:snapToGrid w:val="0"/>
        <w:ind w:left="0" w:firstLine="0"/>
      </w:pP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b/>
          <w:bCs/>
        </w:rPr>
      </w:pPr>
      <w:r>
        <w:rPr>
          <w:b/>
          <w:bCs/>
        </w:rPr>
        <w:t>Agreements</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1   If CPC configuration is not released by network, the UE autonomously releases the stored CPC configuration upon the</w:t>
      </w:r>
      <w:r>
        <w:t xml:space="preserve"> SCG release. </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pPr>
      <w:r>
        <w:t>2</w:t>
      </w:r>
      <w:r>
        <w:tab/>
        <w:t>measID and reportConfig associated with CPC config, and measObject(s) only associated to CPC shall be autonomously removed by UE when SCG is released.</w:t>
      </w:r>
    </w:p>
    <w:p w:rsidR="000C4AF2" w:rsidRDefault="00EE5EC0">
      <w:pPr>
        <w:pStyle w:val="Doc-text2"/>
        <w:pBdr>
          <w:top w:val="single" w:sz="4" w:space="1" w:color="auto"/>
          <w:left w:val="single" w:sz="4" w:space="4" w:color="auto"/>
          <w:bottom w:val="single" w:sz="4" w:space="1" w:color="auto"/>
          <w:right w:val="single" w:sz="4" w:space="4" w:color="auto"/>
        </w:pBdr>
        <w:adjustRightInd w:val="0"/>
        <w:snapToGrid w:val="0"/>
        <w:rPr>
          <w:lang w:val="en-US" w:eastAsia="zh-CN"/>
        </w:rPr>
      </w:pPr>
      <w:r>
        <w:t>4</w:t>
      </w:r>
      <w:r>
        <w:tab/>
        <w:t>Support of CPC configuration (CPC condition + CPC reconfiguration) in legacy HO comman</w:t>
      </w:r>
      <w:r>
        <w:t xml:space="preserve">d or CPC configuration in CPC configuration should not be considered in Rel-16. </w:t>
      </w:r>
    </w:p>
    <w:sectPr w:rsidR="000C4AF2">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5EC0" w:rsidRDefault="00EE5EC0">
      <w:pPr>
        <w:spacing w:after="0" w:line="240" w:lineRule="auto"/>
      </w:pPr>
      <w:r>
        <w:separator/>
      </w:r>
    </w:p>
  </w:endnote>
  <w:endnote w:type="continuationSeparator" w:id="0">
    <w:p w:rsidR="00EE5EC0" w:rsidRDefault="00EE5E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AF2" w:rsidRDefault="00EE5EC0">
    <w:pPr>
      <w:pStyle w:val="ae"/>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C4AF2" w:rsidRDefault="000C4AF2">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AF2" w:rsidRDefault="000C4AF2">
    <w:pPr>
      <w:pStyle w:val="ae"/>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6E" w:rsidRDefault="005C006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5EC0" w:rsidRDefault="00EE5EC0">
      <w:pPr>
        <w:spacing w:after="0" w:line="240" w:lineRule="auto"/>
      </w:pPr>
      <w:r>
        <w:separator/>
      </w:r>
    </w:p>
  </w:footnote>
  <w:footnote w:type="continuationSeparator" w:id="0">
    <w:p w:rsidR="00EE5EC0" w:rsidRDefault="00EE5E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6E" w:rsidRDefault="005C006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AF2" w:rsidRDefault="000C4AF2">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006E" w:rsidRDefault="005C006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D3D26"/>
    <w:multiLevelType w:val="singleLevel"/>
    <w:tmpl w:val="AB3D3D26"/>
    <w:lvl w:ilvl="0">
      <w:start w:val="1"/>
      <w:numFmt w:val="decimal"/>
      <w:suff w:val="space"/>
      <w:lvlText w:val="[%1]."/>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4">
    <w:nsid w:val="0D8C2E30"/>
    <w:multiLevelType w:val="singleLevel"/>
    <w:tmpl w:val="0D8C2E30"/>
    <w:lvl w:ilvl="0">
      <w:start w:val="1"/>
      <w:numFmt w:val="bullet"/>
      <w:lvlText w:val=""/>
      <w:lvlJc w:val="left"/>
      <w:pPr>
        <w:ind w:left="420" w:hanging="420"/>
      </w:pPr>
      <w:rPr>
        <w:rFonts w:ascii="Wingdings" w:hAnsi="Wingdings" w:hint="default"/>
      </w:rPr>
    </w:lvl>
  </w:abstractNum>
  <w:abstractNum w:abstractNumId="5">
    <w:nsid w:val="2C044C80"/>
    <w:multiLevelType w:val="multilevel"/>
    <w:tmpl w:val="2C044C80"/>
    <w:lvl w:ilvl="0">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6"/>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4"/>
  <w:doNotDisplayPageBoundaries/>
  <w:bordersDoNotSurroundHeader/>
  <w:bordersDoNotSurroundFooter/>
  <w:defaultTabStop w:val="420"/>
  <w:hyphenationZone w:val="283"/>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4AF2"/>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006E"/>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5EC0"/>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EE78D1"/>
    <w:rsid w:val="02017286"/>
    <w:rsid w:val="02115596"/>
    <w:rsid w:val="0212463B"/>
    <w:rsid w:val="02142423"/>
    <w:rsid w:val="02145888"/>
    <w:rsid w:val="021627D8"/>
    <w:rsid w:val="022D295E"/>
    <w:rsid w:val="02380A58"/>
    <w:rsid w:val="024412BB"/>
    <w:rsid w:val="02490685"/>
    <w:rsid w:val="024A4AC8"/>
    <w:rsid w:val="024B320F"/>
    <w:rsid w:val="02657A19"/>
    <w:rsid w:val="02664651"/>
    <w:rsid w:val="02737CFE"/>
    <w:rsid w:val="02825D7D"/>
    <w:rsid w:val="028A67A0"/>
    <w:rsid w:val="028B3E82"/>
    <w:rsid w:val="0293518F"/>
    <w:rsid w:val="0297259A"/>
    <w:rsid w:val="029C0A9A"/>
    <w:rsid w:val="02A2536A"/>
    <w:rsid w:val="02A7793D"/>
    <w:rsid w:val="02BA02BA"/>
    <w:rsid w:val="02C62E55"/>
    <w:rsid w:val="02E712F2"/>
    <w:rsid w:val="02E968F1"/>
    <w:rsid w:val="03130048"/>
    <w:rsid w:val="03202434"/>
    <w:rsid w:val="03204437"/>
    <w:rsid w:val="033E499A"/>
    <w:rsid w:val="0347521D"/>
    <w:rsid w:val="035A5498"/>
    <w:rsid w:val="035B5483"/>
    <w:rsid w:val="036C3B3B"/>
    <w:rsid w:val="037175E3"/>
    <w:rsid w:val="03857386"/>
    <w:rsid w:val="03892EFE"/>
    <w:rsid w:val="039A2405"/>
    <w:rsid w:val="039A4F82"/>
    <w:rsid w:val="039A7700"/>
    <w:rsid w:val="03A13B95"/>
    <w:rsid w:val="03BD31AF"/>
    <w:rsid w:val="03BE00C0"/>
    <w:rsid w:val="03D52450"/>
    <w:rsid w:val="03D63228"/>
    <w:rsid w:val="03E65927"/>
    <w:rsid w:val="03E9137F"/>
    <w:rsid w:val="03EB5E4F"/>
    <w:rsid w:val="03EC1D7B"/>
    <w:rsid w:val="03F148CD"/>
    <w:rsid w:val="03F334EB"/>
    <w:rsid w:val="03FE0DFE"/>
    <w:rsid w:val="04067142"/>
    <w:rsid w:val="040D6866"/>
    <w:rsid w:val="041C2081"/>
    <w:rsid w:val="042320E4"/>
    <w:rsid w:val="043E7F06"/>
    <w:rsid w:val="044469A4"/>
    <w:rsid w:val="04456CA0"/>
    <w:rsid w:val="0451320B"/>
    <w:rsid w:val="045763FA"/>
    <w:rsid w:val="046F1C6A"/>
    <w:rsid w:val="047034F5"/>
    <w:rsid w:val="04754B65"/>
    <w:rsid w:val="04861082"/>
    <w:rsid w:val="048A123B"/>
    <w:rsid w:val="048C5BD9"/>
    <w:rsid w:val="04996B65"/>
    <w:rsid w:val="04EB5671"/>
    <w:rsid w:val="04ED36E0"/>
    <w:rsid w:val="04FB5FD2"/>
    <w:rsid w:val="050C31AF"/>
    <w:rsid w:val="05174168"/>
    <w:rsid w:val="051E36E6"/>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A555D"/>
    <w:rsid w:val="06136726"/>
    <w:rsid w:val="06293C5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EE5F3A"/>
    <w:rsid w:val="06F628A6"/>
    <w:rsid w:val="06F90F74"/>
    <w:rsid w:val="06FC5420"/>
    <w:rsid w:val="06FE56CC"/>
    <w:rsid w:val="0701056C"/>
    <w:rsid w:val="07056544"/>
    <w:rsid w:val="0706413A"/>
    <w:rsid w:val="070F4249"/>
    <w:rsid w:val="071E610B"/>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555405"/>
    <w:rsid w:val="08561FA2"/>
    <w:rsid w:val="08590F51"/>
    <w:rsid w:val="086334CF"/>
    <w:rsid w:val="08690BF0"/>
    <w:rsid w:val="0877760D"/>
    <w:rsid w:val="08787E39"/>
    <w:rsid w:val="087F387F"/>
    <w:rsid w:val="08896E68"/>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5066C"/>
    <w:rsid w:val="092464BF"/>
    <w:rsid w:val="09330B6E"/>
    <w:rsid w:val="09392AF8"/>
    <w:rsid w:val="093E5899"/>
    <w:rsid w:val="094311F4"/>
    <w:rsid w:val="094F257F"/>
    <w:rsid w:val="096D227C"/>
    <w:rsid w:val="09712D2D"/>
    <w:rsid w:val="0980678C"/>
    <w:rsid w:val="098246C4"/>
    <w:rsid w:val="09A955D3"/>
    <w:rsid w:val="09B81315"/>
    <w:rsid w:val="09C068A5"/>
    <w:rsid w:val="09C1228B"/>
    <w:rsid w:val="09CA0AC6"/>
    <w:rsid w:val="09D50EC2"/>
    <w:rsid w:val="09F46281"/>
    <w:rsid w:val="09F546E9"/>
    <w:rsid w:val="09F7192D"/>
    <w:rsid w:val="09FD4DBD"/>
    <w:rsid w:val="0A090AAC"/>
    <w:rsid w:val="0A137A02"/>
    <w:rsid w:val="0A204B1C"/>
    <w:rsid w:val="0A2E5DB1"/>
    <w:rsid w:val="0A2F46DB"/>
    <w:rsid w:val="0A324A8A"/>
    <w:rsid w:val="0A337541"/>
    <w:rsid w:val="0A386426"/>
    <w:rsid w:val="0A4E1BB6"/>
    <w:rsid w:val="0A51312B"/>
    <w:rsid w:val="0A575370"/>
    <w:rsid w:val="0A5C2E75"/>
    <w:rsid w:val="0A6277D4"/>
    <w:rsid w:val="0A6614C9"/>
    <w:rsid w:val="0A664AD3"/>
    <w:rsid w:val="0A7232D3"/>
    <w:rsid w:val="0A97216E"/>
    <w:rsid w:val="0A9C11D4"/>
    <w:rsid w:val="0AA5549A"/>
    <w:rsid w:val="0AAE3C34"/>
    <w:rsid w:val="0AB57D41"/>
    <w:rsid w:val="0AB74037"/>
    <w:rsid w:val="0ABB64D4"/>
    <w:rsid w:val="0ABF5314"/>
    <w:rsid w:val="0AF957A7"/>
    <w:rsid w:val="0AFB4824"/>
    <w:rsid w:val="0B104C80"/>
    <w:rsid w:val="0B1537E9"/>
    <w:rsid w:val="0B1B0258"/>
    <w:rsid w:val="0B2F5449"/>
    <w:rsid w:val="0B3A6177"/>
    <w:rsid w:val="0B542366"/>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4523A"/>
    <w:rsid w:val="0C022CD6"/>
    <w:rsid w:val="0C0F2FEF"/>
    <w:rsid w:val="0C115C01"/>
    <w:rsid w:val="0C21687B"/>
    <w:rsid w:val="0C221921"/>
    <w:rsid w:val="0C2B7B6C"/>
    <w:rsid w:val="0C35257F"/>
    <w:rsid w:val="0C4E0C6C"/>
    <w:rsid w:val="0C5C4277"/>
    <w:rsid w:val="0C70637B"/>
    <w:rsid w:val="0C710975"/>
    <w:rsid w:val="0C7A6655"/>
    <w:rsid w:val="0C7D69BF"/>
    <w:rsid w:val="0C97562A"/>
    <w:rsid w:val="0CB47222"/>
    <w:rsid w:val="0CB5613D"/>
    <w:rsid w:val="0CCA31B6"/>
    <w:rsid w:val="0CCE60AE"/>
    <w:rsid w:val="0CE2368A"/>
    <w:rsid w:val="0CE55396"/>
    <w:rsid w:val="0CF31DF7"/>
    <w:rsid w:val="0CF40AF8"/>
    <w:rsid w:val="0D2C3BFA"/>
    <w:rsid w:val="0D4618D1"/>
    <w:rsid w:val="0D470E01"/>
    <w:rsid w:val="0D5412D9"/>
    <w:rsid w:val="0D563E1D"/>
    <w:rsid w:val="0D5D28E6"/>
    <w:rsid w:val="0D651FC1"/>
    <w:rsid w:val="0D6D666D"/>
    <w:rsid w:val="0D6E7297"/>
    <w:rsid w:val="0D7545AF"/>
    <w:rsid w:val="0D781F4A"/>
    <w:rsid w:val="0D784EF3"/>
    <w:rsid w:val="0D823563"/>
    <w:rsid w:val="0D8C2318"/>
    <w:rsid w:val="0D916371"/>
    <w:rsid w:val="0D9F62EE"/>
    <w:rsid w:val="0DA858B9"/>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28192B"/>
    <w:rsid w:val="0E2F597F"/>
    <w:rsid w:val="0E37108C"/>
    <w:rsid w:val="0E3B3740"/>
    <w:rsid w:val="0E4D26CC"/>
    <w:rsid w:val="0E560EFD"/>
    <w:rsid w:val="0E6A01E6"/>
    <w:rsid w:val="0E8C09CF"/>
    <w:rsid w:val="0E8D03D6"/>
    <w:rsid w:val="0E930DC4"/>
    <w:rsid w:val="0EA41BE0"/>
    <w:rsid w:val="0EAD2320"/>
    <w:rsid w:val="0EB12EAE"/>
    <w:rsid w:val="0EC509E4"/>
    <w:rsid w:val="0ECC22F2"/>
    <w:rsid w:val="0ED4677A"/>
    <w:rsid w:val="0ED64E1A"/>
    <w:rsid w:val="0EDC06F9"/>
    <w:rsid w:val="0EE1071D"/>
    <w:rsid w:val="0EF05D44"/>
    <w:rsid w:val="0EFD6649"/>
    <w:rsid w:val="0EFF4DCA"/>
    <w:rsid w:val="0F0869CE"/>
    <w:rsid w:val="0F0F0B31"/>
    <w:rsid w:val="0F1028FC"/>
    <w:rsid w:val="0F13714E"/>
    <w:rsid w:val="0F1B123C"/>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C249F"/>
    <w:rsid w:val="0FD97329"/>
    <w:rsid w:val="0FDD3ABD"/>
    <w:rsid w:val="0FDD41C9"/>
    <w:rsid w:val="0FDE34CC"/>
    <w:rsid w:val="0FFC2B88"/>
    <w:rsid w:val="0FFD42FF"/>
    <w:rsid w:val="101207DA"/>
    <w:rsid w:val="10144ACE"/>
    <w:rsid w:val="1019048E"/>
    <w:rsid w:val="10192E34"/>
    <w:rsid w:val="10220ACB"/>
    <w:rsid w:val="10324C94"/>
    <w:rsid w:val="103E1201"/>
    <w:rsid w:val="104177FA"/>
    <w:rsid w:val="105553B4"/>
    <w:rsid w:val="105F2701"/>
    <w:rsid w:val="105F3355"/>
    <w:rsid w:val="10623B1A"/>
    <w:rsid w:val="10633DE5"/>
    <w:rsid w:val="106C51AC"/>
    <w:rsid w:val="1085601B"/>
    <w:rsid w:val="10870262"/>
    <w:rsid w:val="10993A5B"/>
    <w:rsid w:val="109C7E53"/>
    <w:rsid w:val="109D01C9"/>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9137BD"/>
    <w:rsid w:val="129E5216"/>
    <w:rsid w:val="12AB4AA1"/>
    <w:rsid w:val="12D86D99"/>
    <w:rsid w:val="12EF1DC3"/>
    <w:rsid w:val="12EF741A"/>
    <w:rsid w:val="12F254D0"/>
    <w:rsid w:val="12F3239A"/>
    <w:rsid w:val="12FE42D6"/>
    <w:rsid w:val="130A5E23"/>
    <w:rsid w:val="131C3CE3"/>
    <w:rsid w:val="131D5C4A"/>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4744F"/>
    <w:rsid w:val="15823994"/>
    <w:rsid w:val="159260CF"/>
    <w:rsid w:val="15947046"/>
    <w:rsid w:val="15951987"/>
    <w:rsid w:val="15A0619E"/>
    <w:rsid w:val="15B72752"/>
    <w:rsid w:val="15BA166F"/>
    <w:rsid w:val="15BD418E"/>
    <w:rsid w:val="15C72685"/>
    <w:rsid w:val="15C828CD"/>
    <w:rsid w:val="15CB3F81"/>
    <w:rsid w:val="15EB2AA9"/>
    <w:rsid w:val="15F4371E"/>
    <w:rsid w:val="15FD7743"/>
    <w:rsid w:val="160F2C35"/>
    <w:rsid w:val="16203964"/>
    <w:rsid w:val="162810CA"/>
    <w:rsid w:val="16314D23"/>
    <w:rsid w:val="16542691"/>
    <w:rsid w:val="16545026"/>
    <w:rsid w:val="165663D1"/>
    <w:rsid w:val="16585FCB"/>
    <w:rsid w:val="16620331"/>
    <w:rsid w:val="16657E45"/>
    <w:rsid w:val="16704C85"/>
    <w:rsid w:val="16744071"/>
    <w:rsid w:val="167C5BDC"/>
    <w:rsid w:val="1680645E"/>
    <w:rsid w:val="168821FC"/>
    <w:rsid w:val="169612D1"/>
    <w:rsid w:val="16A137C5"/>
    <w:rsid w:val="16A21F5B"/>
    <w:rsid w:val="16BE1D19"/>
    <w:rsid w:val="16C00555"/>
    <w:rsid w:val="16DF2B07"/>
    <w:rsid w:val="16E7282C"/>
    <w:rsid w:val="16FE3110"/>
    <w:rsid w:val="17026F10"/>
    <w:rsid w:val="170A3FAB"/>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F4999"/>
    <w:rsid w:val="180C023B"/>
    <w:rsid w:val="18170776"/>
    <w:rsid w:val="18226EE6"/>
    <w:rsid w:val="182B4F94"/>
    <w:rsid w:val="18366840"/>
    <w:rsid w:val="18474F16"/>
    <w:rsid w:val="18535C42"/>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C605BC"/>
    <w:rsid w:val="18DE1AEB"/>
    <w:rsid w:val="18E37D51"/>
    <w:rsid w:val="18E41E18"/>
    <w:rsid w:val="18ED2210"/>
    <w:rsid w:val="18F33F2C"/>
    <w:rsid w:val="18F56338"/>
    <w:rsid w:val="18FC34F8"/>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A1601"/>
    <w:rsid w:val="19FC4936"/>
    <w:rsid w:val="1A112EAE"/>
    <w:rsid w:val="1A1D6630"/>
    <w:rsid w:val="1A3641BA"/>
    <w:rsid w:val="1A4B7D0E"/>
    <w:rsid w:val="1A4F26CC"/>
    <w:rsid w:val="1A552131"/>
    <w:rsid w:val="1A573AB7"/>
    <w:rsid w:val="1A7702EA"/>
    <w:rsid w:val="1A7C32FF"/>
    <w:rsid w:val="1A7C3F77"/>
    <w:rsid w:val="1A80010B"/>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B097FBA"/>
    <w:rsid w:val="1B2542E6"/>
    <w:rsid w:val="1B2929AB"/>
    <w:rsid w:val="1B47772F"/>
    <w:rsid w:val="1B50538E"/>
    <w:rsid w:val="1B5322E9"/>
    <w:rsid w:val="1B607248"/>
    <w:rsid w:val="1B612AFA"/>
    <w:rsid w:val="1B693EA3"/>
    <w:rsid w:val="1B6B1131"/>
    <w:rsid w:val="1B6C25E8"/>
    <w:rsid w:val="1B741476"/>
    <w:rsid w:val="1B793426"/>
    <w:rsid w:val="1B801536"/>
    <w:rsid w:val="1B8260BC"/>
    <w:rsid w:val="1B8A2061"/>
    <w:rsid w:val="1BAA2BCF"/>
    <w:rsid w:val="1BD925D2"/>
    <w:rsid w:val="1BFA0C60"/>
    <w:rsid w:val="1C076C7C"/>
    <w:rsid w:val="1C161A83"/>
    <w:rsid w:val="1C1C4D13"/>
    <w:rsid w:val="1C296C3D"/>
    <w:rsid w:val="1C3A709B"/>
    <w:rsid w:val="1C512779"/>
    <w:rsid w:val="1C5B2253"/>
    <w:rsid w:val="1C6575F7"/>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C55A7"/>
    <w:rsid w:val="1D6747F5"/>
    <w:rsid w:val="1D702483"/>
    <w:rsid w:val="1D7B7BDF"/>
    <w:rsid w:val="1D7C0AC5"/>
    <w:rsid w:val="1D812F92"/>
    <w:rsid w:val="1D850034"/>
    <w:rsid w:val="1D8B6EC0"/>
    <w:rsid w:val="1DA70EBB"/>
    <w:rsid w:val="1DAF2B60"/>
    <w:rsid w:val="1DAF4844"/>
    <w:rsid w:val="1DB15797"/>
    <w:rsid w:val="1DC43BC4"/>
    <w:rsid w:val="1DCC34E5"/>
    <w:rsid w:val="1DCF2EDB"/>
    <w:rsid w:val="1DDE47B5"/>
    <w:rsid w:val="1DE56A6A"/>
    <w:rsid w:val="1DFD5D66"/>
    <w:rsid w:val="1E1C0F23"/>
    <w:rsid w:val="1E1D3350"/>
    <w:rsid w:val="1E2D3856"/>
    <w:rsid w:val="1E2E6394"/>
    <w:rsid w:val="1E493A73"/>
    <w:rsid w:val="1E4C7C99"/>
    <w:rsid w:val="1E6E29BC"/>
    <w:rsid w:val="1E721FE6"/>
    <w:rsid w:val="1E842EE0"/>
    <w:rsid w:val="1EA5131C"/>
    <w:rsid w:val="1EAC0652"/>
    <w:rsid w:val="1EC012AB"/>
    <w:rsid w:val="1EC33879"/>
    <w:rsid w:val="1EC97015"/>
    <w:rsid w:val="1ED25FFE"/>
    <w:rsid w:val="1EDD24BC"/>
    <w:rsid w:val="1EE16ED9"/>
    <w:rsid w:val="1EEA0C85"/>
    <w:rsid w:val="1F1E5DB2"/>
    <w:rsid w:val="1F293665"/>
    <w:rsid w:val="1F2D7AB7"/>
    <w:rsid w:val="1F3C203A"/>
    <w:rsid w:val="1F4154A3"/>
    <w:rsid w:val="1F495793"/>
    <w:rsid w:val="1F4F31D2"/>
    <w:rsid w:val="1F8B4035"/>
    <w:rsid w:val="1F8E5C30"/>
    <w:rsid w:val="1F8F3B44"/>
    <w:rsid w:val="1FA042BC"/>
    <w:rsid w:val="1FAD75BF"/>
    <w:rsid w:val="1FB468E3"/>
    <w:rsid w:val="1FB87C4A"/>
    <w:rsid w:val="1FDE1119"/>
    <w:rsid w:val="1FDE5CF0"/>
    <w:rsid w:val="1FF63782"/>
    <w:rsid w:val="20055D8E"/>
    <w:rsid w:val="2010595F"/>
    <w:rsid w:val="20444A13"/>
    <w:rsid w:val="204A3E68"/>
    <w:rsid w:val="204E2B4B"/>
    <w:rsid w:val="204F627F"/>
    <w:rsid w:val="20577738"/>
    <w:rsid w:val="205B6F25"/>
    <w:rsid w:val="206E2E6F"/>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236E7B"/>
    <w:rsid w:val="212D6E70"/>
    <w:rsid w:val="21325170"/>
    <w:rsid w:val="21383079"/>
    <w:rsid w:val="213C4E2F"/>
    <w:rsid w:val="213D0E8C"/>
    <w:rsid w:val="2140662B"/>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A7C76"/>
    <w:rsid w:val="21FB378E"/>
    <w:rsid w:val="22086DD5"/>
    <w:rsid w:val="220D602F"/>
    <w:rsid w:val="221122B7"/>
    <w:rsid w:val="221335D5"/>
    <w:rsid w:val="221803B8"/>
    <w:rsid w:val="223332AD"/>
    <w:rsid w:val="223F2906"/>
    <w:rsid w:val="22460F19"/>
    <w:rsid w:val="226F2366"/>
    <w:rsid w:val="227167CA"/>
    <w:rsid w:val="22727FD0"/>
    <w:rsid w:val="22805B8B"/>
    <w:rsid w:val="228135D1"/>
    <w:rsid w:val="2281465F"/>
    <w:rsid w:val="22A13519"/>
    <w:rsid w:val="22B23E9D"/>
    <w:rsid w:val="22C54E5E"/>
    <w:rsid w:val="22C84261"/>
    <w:rsid w:val="22CA6D56"/>
    <w:rsid w:val="22CD373A"/>
    <w:rsid w:val="22CD57C2"/>
    <w:rsid w:val="22CE6C8E"/>
    <w:rsid w:val="22D45893"/>
    <w:rsid w:val="22F94667"/>
    <w:rsid w:val="22FC1280"/>
    <w:rsid w:val="23001A71"/>
    <w:rsid w:val="23050ED0"/>
    <w:rsid w:val="23057C2E"/>
    <w:rsid w:val="230A06F1"/>
    <w:rsid w:val="231405B8"/>
    <w:rsid w:val="231C0D19"/>
    <w:rsid w:val="2335341D"/>
    <w:rsid w:val="233B6DCC"/>
    <w:rsid w:val="233F2E83"/>
    <w:rsid w:val="234B4184"/>
    <w:rsid w:val="234F6DA9"/>
    <w:rsid w:val="234F75EF"/>
    <w:rsid w:val="23506762"/>
    <w:rsid w:val="23557637"/>
    <w:rsid w:val="236647E7"/>
    <w:rsid w:val="23666256"/>
    <w:rsid w:val="23691369"/>
    <w:rsid w:val="236E3562"/>
    <w:rsid w:val="23722CB0"/>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73264B"/>
    <w:rsid w:val="24915BAB"/>
    <w:rsid w:val="24992C3F"/>
    <w:rsid w:val="249E445B"/>
    <w:rsid w:val="249F57D9"/>
    <w:rsid w:val="24CE18C8"/>
    <w:rsid w:val="24DB7584"/>
    <w:rsid w:val="24DC690A"/>
    <w:rsid w:val="24DF68C8"/>
    <w:rsid w:val="24E113F5"/>
    <w:rsid w:val="24E70DDF"/>
    <w:rsid w:val="25005C72"/>
    <w:rsid w:val="25072CB6"/>
    <w:rsid w:val="250F3ABA"/>
    <w:rsid w:val="25150E4A"/>
    <w:rsid w:val="25214F60"/>
    <w:rsid w:val="252F2220"/>
    <w:rsid w:val="254816C3"/>
    <w:rsid w:val="254A0730"/>
    <w:rsid w:val="255F10C9"/>
    <w:rsid w:val="25603261"/>
    <w:rsid w:val="2571416C"/>
    <w:rsid w:val="25752C02"/>
    <w:rsid w:val="25820624"/>
    <w:rsid w:val="25861D75"/>
    <w:rsid w:val="258C3B72"/>
    <w:rsid w:val="258D381B"/>
    <w:rsid w:val="258D6CA4"/>
    <w:rsid w:val="258F4D88"/>
    <w:rsid w:val="259C6706"/>
    <w:rsid w:val="25A537C9"/>
    <w:rsid w:val="25A937E3"/>
    <w:rsid w:val="25A97B32"/>
    <w:rsid w:val="25AE239D"/>
    <w:rsid w:val="25B35FA5"/>
    <w:rsid w:val="25B564E3"/>
    <w:rsid w:val="25CE0B3E"/>
    <w:rsid w:val="25CF30BA"/>
    <w:rsid w:val="25D87AE6"/>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7056BF"/>
    <w:rsid w:val="2682002D"/>
    <w:rsid w:val="268426E2"/>
    <w:rsid w:val="26871BB0"/>
    <w:rsid w:val="268D61F7"/>
    <w:rsid w:val="26915CA2"/>
    <w:rsid w:val="26BF485A"/>
    <w:rsid w:val="26E32255"/>
    <w:rsid w:val="26EA75CE"/>
    <w:rsid w:val="26EC6E10"/>
    <w:rsid w:val="26EF32CA"/>
    <w:rsid w:val="26F37CBE"/>
    <w:rsid w:val="26F954F1"/>
    <w:rsid w:val="27107BF5"/>
    <w:rsid w:val="27326E8F"/>
    <w:rsid w:val="2735468D"/>
    <w:rsid w:val="274A6662"/>
    <w:rsid w:val="27570A55"/>
    <w:rsid w:val="275C2CB3"/>
    <w:rsid w:val="276A0443"/>
    <w:rsid w:val="276C1027"/>
    <w:rsid w:val="277328A2"/>
    <w:rsid w:val="27746913"/>
    <w:rsid w:val="2775446F"/>
    <w:rsid w:val="278B2D28"/>
    <w:rsid w:val="27947308"/>
    <w:rsid w:val="2796033D"/>
    <w:rsid w:val="27B60AFD"/>
    <w:rsid w:val="27B914E9"/>
    <w:rsid w:val="27C435E3"/>
    <w:rsid w:val="27CD2E52"/>
    <w:rsid w:val="27D47C66"/>
    <w:rsid w:val="27E951EF"/>
    <w:rsid w:val="27EF2A5E"/>
    <w:rsid w:val="27F2325D"/>
    <w:rsid w:val="27F97D3B"/>
    <w:rsid w:val="28014AB4"/>
    <w:rsid w:val="28043BB2"/>
    <w:rsid w:val="28065FAE"/>
    <w:rsid w:val="280B5681"/>
    <w:rsid w:val="280D46CF"/>
    <w:rsid w:val="28246110"/>
    <w:rsid w:val="28285D3D"/>
    <w:rsid w:val="282865B0"/>
    <w:rsid w:val="28377CB6"/>
    <w:rsid w:val="284566E9"/>
    <w:rsid w:val="285577BE"/>
    <w:rsid w:val="285C5977"/>
    <w:rsid w:val="28722B16"/>
    <w:rsid w:val="287954D2"/>
    <w:rsid w:val="287E15AA"/>
    <w:rsid w:val="288D4F6F"/>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B361A"/>
    <w:rsid w:val="29232AF9"/>
    <w:rsid w:val="2925011C"/>
    <w:rsid w:val="29291D27"/>
    <w:rsid w:val="29334E58"/>
    <w:rsid w:val="29342C80"/>
    <w:rsid w:val="293F4FBE"/>
    <w:rsid w:val="294D1445"/>
    <w:rsid w:val="296D72E7"/>
    <w:rsid w:val="29776B33"/>
    <w:rsid w:val="297C4F1B"/>
    <w:rsid w:val="29841FF1"/>
    <w:rsid w:val="299159E7"/>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7B0C"/>
    <w:rsid w:val="2AA16B48"/>
    <w:rsid w:val="2AA71A15"/>
    <w:rsid w:val="2AAB20D4"/>
    <w:rsid w:val="2AB072BA"/>
    <w:rsid w:val="2ABC14DB"/>
    <w:rsid w:val="2ABE3874"/>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F1E23"/>
    <w:rsid w:val="2BDB5364"/>
    <w:rsid w:val="2BEF171D"/>
    <w:rsid w:val="2BFE1E7E"/>
    <w:rsid w:val="2BFF34F5"/>
    <w:rsid w:val="2C013F39"/>
    <w:rsid w:val="2C0B1078"/>
    <w:rsid w:val="2C232156"/>
    <w:rsid w:val="2C253560"/>
    <w:rsid w:val="2C295909"/>
    <w:rsid w:val="2C334998"/>
    <w:rsid w:val="2C35122A"/>
    <w:rsid w:val="2C364299"/>
    <w:rsid w:val="2C486C9F"/>
    <w:rsid w:val="2C5437C3"/>
    <w:rsid w:val="2C594D81"/>
    <w:rsid w:val="2C5C42D2"/>
    <w:rsid w:val="2C620297"/>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D70417"/>
    <w:rsid w:val="2DDB0F96"/>
    <w:rsid w:val="2DE35418"/>
    <w:rsid w:val="2E0D4E92"/>
    <w:rsid w:val="2E101687"/>
    <w:rsid w:val="2E126562"/>
    <w:rsid w:val="2E1B62A5"/>
    <w:rsid w:val="2E1D58DE"/>
    <w:rsid w:val="2E32124B"/>
    <w:rsid w:val="2E3931A6"/>
    <w:rsid w:val="2E3F01AF"/>
    <w:rsid w:val="2E4D43C9"/>
    <w:rsid w:val="2E5513C9"/>
    <w:rsid w:val="2E575F25"/>
    <w:rsid w:val="2E581950"/>
    <w:rsid w:val="2E5865F6"/>
    <w:rsid w:val="2E664B44"/>
    <w:rsid w:val="2E6700E1"/>
    <w:rsid w:val="2E6E3AC1"/>
    <w:rsid w:val="2E806A22"/>
    <w:rsid w:val="2E8C2695"/>
    <w:rsid w:val="2EA45ECC"/>
    <w:rsid w:val="2EA961CA"/>
    <w:rsid w:val="2EAC7A25"/>
    <w:rsid w:val="2EB11C1F"/>
    <w:rsid w:val="2EDF3CED"/>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D414C"/>
    <w:rsid w:val="2F820752"/>
    <w:rsid w:val="2F8412FC"/>
    <w:rsid w:val="2F843CF0"/>
    <w:rsid w:val="2F8612D3"/>
    <w:rsid w:val="2F8E5104"/>
    <w:rsid w:val="2FA557A7"/>
    <w:rsid w:val="2FBD3859"/>
    <w:rsid w:val="2FC40827"/>
    <w:rsid w:val="2FCC6278"/>
    <w:rsid w:val="2FE73242"/>
    <w:rsid w:val="2FEB512F"/>
    <w:rsid w:val="2FF06294"/>
    <w:rsid w:val="2FF13DD5"/>
    <w:rsid w:val="2FF66C8B"/>
    <w:rsid w:val="2FF9135A"/>
    <w:rsid w:val="300F6B5F"/>
    <w:rsid w:val="30121DB6"/>
    <w:rsid w:val="30194267"/>
    <w:rsid w:val="30265DB3"/>
    <w:rsid w:val="303D2A1B"/>
    <w:rsid w:val="303E2FFE"/>
    <w:rsid w:val="30423C79"/>
    <w:rsid w:val="306205C4"/>
    <w:rsid w:val="30657AE9"/>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6244B7"/>
    <w:rsid w:val="316F1595"/>
    <w:rsid w:val="31854918"/>
    <w:rsid w:val="31963578"/>
    <w:rsid w:val="31A32722"/>
    <w:rsid w:val="31A91D45"/>
    <w:rsid w:val="31AC7DF1"/>
    <w:rsid w:val="31AE5339"/>
    <w:rsid w:val="31BA0E10"/>
    <w:rsid w:val="31BB2CDB"/>
    <w:rsid w:val="31CF2C3A"/>
    <w:rsid w:val="31D063CB"/>
    <w:rsid w:val="31D811C4"/>
    <w:rsid w:val="31D918C1"/>
    <w:rsid w:val="31DF7D59"/>
    <w:rsid w:val="31E352CF"/>
    <w:rsid w:val="31EC57C4"/>
    <w:rsid w:val="320E75A5"/>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B366CE"/>
    <w:rsid w:val="32BB3603"/>
    <w:rsid w:val="32BE6424"/>
    <w:rsid w:val="32BF74CC"/>
    <w:rsid w:val="32C246E2"/>
    <w:rsid w:val="32C31C14"/>
    <w:rsid w:val="32C753E9"/>
    <w:rsid w:val="32CD393F"/>
    <w:rsid w:val="32CF3752"/>
    <w:rsid w:val="32DD7534"/>
    <w:rsid w:val="32F64C2C"/>
    <w:rsid w:val="33022768"/>
    <w:rsid w:val="331B6ED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E71937"/>
    <w:rsid w:val="33EC68D6"/>
    <w:rsid w:val="33F4710E"/>
    <w:rsid w:val="33FC6D82"/>
    <w:rsid w:val="33FE650E"/>
    <w:rsid w:val="34070CF8"/>
    <w:rsid w:val="34075BDC"/>
    <w:rsid w:val="340925AB"/>
    <w:rsid w:val="341E6F75"/>
    <w:rsid w:val="341E76A7"/>
    <w:rsid w:val="342245A0"/>
    <w:rsid w:val="34243808"/>
    <w:rsid w:val="34283065"/>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E06A6B"/>
    <w:rsid w:val="34EA0F65"/>
    <w:rsid w:val="34EF6036"/>
    <w:rsid w:val="34F2011B"/>
    <w:rsid w:val="34F73B82"/>
    <w:rsid w:val="35027E6B"/>
    <w:rsid w:val="350826B6"/>
    <w:rsid w:val="35151E73"/>
    <w:rsid w:val="351B5AFA"/>
    <w:rsid w:val="351D7160"/>
    <w:rsid w:val="351E408A"/>
    <w:rsid w:val="35436A96"/>
    <w:rsid w:val="3544100D"/>
    <w:rsid w:val="355015DA"/>
    <w:rsid w:val="35560A7E"/>
    <w:rsid w:val="35623A85"/>
    <w:rsid w:val="35666732"/>
    <w:rsid w:val="35683ADC"/>
    <w:rsid w:val="356A5601"/>
    <w:rsid w:val="358210F2"/>
    <w:rsid w:val="358A3815"/>
    <w:rsid w:val="358B13EB"/>
    <w:rsid w:val="359962FA"/>
    <w:rsid w:val="359F16E4"/>
    <w:rsid w:val="35A070D0"/>
    <w:rsid w:val="35A62EC1"/>
    <w:rsid w:val="35C606F5"/>
    <w:rsid w:val="35CB6289"/>
    <w:rsid w:val="35CE28FE"/>
    <w:rsid w:val="35D02FEC"/>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4377B"/>
    <w:rsid w:val="376755B7"/>
    <w:rsid w:val="376D73D3"/>
    <w:rsid w:val="37757E6F"/>
    <w:rsid w:val="377E113A"/>
    <w:rsid w:val="37873DC6"/>
    <w:rsid w:val="378C5DE8"/>
    <w:rsid w:val="379A365A"/>
    <w:rsid w:val="37A81832"/>
    <w:rsid w:val="37AD0E97"/>
    <w:rsid w:val="37B3284E"/>
    <w:rsid w:val="37B93020"/>
    <w:rsid w:val="37C75A14"/>
    <w:rsid w:val="37D51DFC"/>
    <w:rsid w:val="37FD7147"/>
    <w:rsid w:val="380F45AD"/>
    <w:rsid w:val="38365636"/>
    <w:rsid w:val="3838242E"/>
    <w:rsid w:val="3842298F"/>
    <w:rsid w:val="384934A4"/>
    <w:rsid w:val="38562637"/>
    <w:rsid w:val="3858063B"/>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B6A45"/>
    <w:rsid w:val="3957061E"/>
    <w:rsid w:val="396A5805"/>
    <w:rsid w:val="397D09C0"/>
    <w:rsid w:val="39882EE2"/>
    <w:rsid w:val="39884C68"/>
    <w:rsid w:val="399476E9"/>
    <w:rsid w:val="39AA29DA"/>
    <w:rsid w:val="39B50F31"/>
    <w:rsid w:val="39C84667"/>
    <w:rsid w:val="39CA73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8A05C9"/>
    <w:rsid w:val="3B8B65A4"/>
    <w:rsid w:val="3B94771D"/>
    <w:rsid w:val="3B9C51AC"/>
    <w:rsid w:val="3BA86F0F"/>
    <w:rsid w:val="3BB26CEE"/>
    <w:rsid w:val="3BBE4E43"/>
    <w:rsid w:val="3BD473F8"/>
    <w:rsid w:val="3BDE71BE"/>
    <w:rsid w:val="3C0829E0"/>
    <w:rsid w:val="3C0B32C7"/>
    <w:rsid w:val="3C0B7D3C"/>
    <w:rsid w:val="3C123284"/>
    <w:rsid w:val="3C144C5E"/>
    <w:rsid w:val="3C145C57"/>
    <w:rsid w:val="3C217DAA"/>
    <w:rsid w:val="3C2B5922"/>
    <w:rsid w:val="3C302B64"/>
    <w:rsid w:val="3C351CCD"/>
    <w:rsid w:val="3C3B72F7"/>
    <w:rsid w:val="3C4D5202"/>
    <w:rsid w:val="3C536F45"/>
    <w:rsid w:val="3C5D698E"/>
    <w:rsid w:val="3C6A79D5"/>
    <w:rsid w:val="3C7617CA"/>
    <w:rsid w:val="3C881DE6"/>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901D9"/>
    <w:rsid w:val="3D9A6A88"/>
    <w:rsid w:val="3D9C583A"/>
    <w:rsid w:val="3D9E378A"/>
    <w:rsid w:val="3DA1312A"/>
    <w:rsid w:val="3DB66C9C"/>
    <w:rsid w:val="3DB740CD"/>
    <w:rsid w:val="3DC60812"/>
    <w:rsid w:val="3DCF4766"/>
    <w:rsid w:val="3DD03022"/>
    <w:rsid w:val="3DE5229E"/>
    <w:rsid w:val="3DEB027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8506AB"/>
    <w:rsid w:val="3F8E25FD"/>
    <w:rsid w:val="3F981A4B"/>
    <w:rsid w:val="3FB771CD"/>
    <w:rsid w:val="3FB86B1A"/>
    <w:rsid w:val="3FBA408C"/>
    <w:rsid w:val="3FBB5DCF"/>
    <w:rsid w:val="3FC454C6"/>
    <w:rsid w:val="3FC657A0"/>
    <w:rsid w:val="3FE31D82"/>
    <w:rsid w:val="3FEE7226"/>
    <w:rsid w:val="3FF60A01"/>
    <w:rsid w:val="40123B43"/>
    <w:rsid w:val="40151C80"/>
    <w:rsid w:val="401A4816"/>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C1C7A"/>
    <w:rsid w:val="40D145D9"/>
    <w:rsid w:val="40DA6699"/>
    <w:rsid w:val="40E81F30"/>
    <w:rsid w:val="4107385B"/>
    <w:rsid w:val="4113642B"/>
    <w:rsid w:val="41151751"/>
    <w:rsid w:val="411D5581"/>
    <w:rsid w:val="411F13DA"/>
    <w:rsid w:val="41225E28"/>
    <w:rsid w:val="413635BD"/>
    <w:rsid w:val="413B717B"/>
    <w:rsid w:val="413E7731"/>
    <w:rsid w:val="4146059B"/>
    <w:rsid w:val="415B01B8"/>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7E66"/>
    <w:rsid w:val="4279133E"/>
    <w:rsid w:val="427B56B5"/>
    <w:rsid w:val="42850BB4"/>
    <w:rsid w:val="429F4867"/>
    <w:rsid w:val="42A31ABC"/>
    <w:rsid w:val="42B876D7"/>
    <w:rsid w:val="42C12743"/>
    <w:rsid w:val="42C37F87"/>
    <w:rsid w:val="42C41CFF"/>
    <w:rsid w:val="42DC7FA5"/>
    <w:rsid w:val="42DE73EB"/>
    <w:rsid w:val="42EA5D21"/>
    <w:rsid w:val="42F55E0F"/>
    <w:rsid w:val="42F8391A"/>
    <w:rsid w:val="43002024"/>
    <w:rsid w:val="43041422"/>
    <w:rsid w:val="430B71E6"/>
    <w:rsid w:val="4313140F"/>
    <w:rsid w:val="431F3B2A"/>
    <w:rsid w:val="4328234D"/>
    <w:rsid w:val="4328318E"/>
    <w:rsid w:val="4337362E"/>
    <w:rsid w:val="43377A41"/>
    <w:rsid w:val="433C0AD9"/>
    <w:rsid w:val="435C2DD4"/>
    <w:rsid w:val="43606EE8"/>
    <w:rsid w:val="436D6C7E"/>
    <w:rsid w:val="43825E8E"/>
    <w:rsid w:val="438C60C3"/>
    <w:rsid w:val="438D3A8B"/>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87B6B"/>
    <w:rsid w:val="44396033"/>
    <w:rsid w:val="444168F4"/>
    <w:rsid w:val="4445371E"/>
    <w:rsid w:val="444F4CC5"/>
    <w:rsid w:val="44723E90"/>
    <w:rsid w:val="447F2079"/>
    <w:rsid w:val="44905E4F"/>
    <w:rsid w:val="449307DD"/>
    <w:rsid w:val="449924D3"/>
    <w:rsid w:val="449C324D"/>
    <w:rsid w:val="44AE2C64"/>
    <w:rsid w:val="44B25954"/>
    <w:rsid w:val="44B571A3"/>
    <w:rsid w:val="44B578AF"/>
    <w:rsid w:val="44BB5881"/>
    <w:rsid w:val="44BF3C17"/>
    <w:rsid w:val="44C2475D"/>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9D3251"/>
    <w:rsid w:val="45A1725C"/>
    <w:rsid w:val="45A34A00"/>
    <w:rsid w:val="45B33A3B"/>
    <w:rsid w:val="45C20D69"/>
    <w:rsid w:val="45D077D4"/>
    <w:rsid w:val="45DE6754"/>
    <w:rsid w:val="45EF1E60"/>
    <w:rsid w:val="45F65F21"/>
    <w:rsid w:val="45F877F1"/>
    <w:rsid w:val="46043836"/>
    <w:rsid w:val="46163A58"/>
    <w:rsid w:val="461C30A3"/>
    <w:rsid w:val="461F2208"/>
    <w:rsid w:val="462253D7"/>
    <w:rsid w:val="463416CE"/>
    <w:rsid w:val="4638223A"/>
    <w:rsid w:val="4641025F"/>
    <w:rsid w:val="464B7611"/>
    <w:rsid w:val="46555121"/>
    <w:rsid w:val="466E0F0B"/>
    <w:rsid w:val="4673382E"/>
    <w:rsid w:val="4675674D"/>
    <w:rsid w:val="468D1FB1"/>
    <w:rsid w:val="468F6773"/>
    <w:rsid w:val="469A330F"/>
    <w:rsid w:val="469F56A5"/>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C01F75"/>
    <w:rsid w:val="47DB202B"/>
    <w:rsid w:val="47E65C2F"/>
    <w:rsid w:val="47EB601C"/>
    <w:rsid w:val="47F664B8"/>
    <w:rsid w:val="47F76470"/>
    <w:rsid w:val="47FC1D1A"/>
    <w:rsid w:val="48052A48"/>
    <w:rsid w:val="48067F05"/>
    <w:rsid w:val="48082259"/>
    <w:rsid w:val="481A5198"/>
    <w:rsid w:val="482C7A14"/>
    <w:rsid w:val="4830797B"/>
    <w:rsid w:val="484A5559"/>
    <w:rsid w:val="485974B8"/>
    <w:rsid w:val="485A507F"/>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E7EAB"/>
    <w:rsid w:val="49597EFF"/>
    <w:rsid w:val="49657721"/>
    <w:rsid w:val="49683F5D"/>
    <w:rsid w:val="49825CBE"/>
    <w:rsid w:val="49A67A57"/>
    <w:rsid w:val="49AD250C"/>
    <w:rsid w:val="49B839C4"/>
    <w:rsid w:val="49D94FE5"/>
    <w:rsid w:val="49F43B8C"/>
    <w:rsid w:val="49F678F8"/>
    <w:rsid w:val="4A0D10B0"/>
    <w:rsid w:val="4A223490"/>
    <w:rsid w:val="4A280924"/>
    <w:rsid w:val="4A2B1DEA"/>
    <w:rsid w:val="4A2D0F49"/>
    <w:rsid w:val="4A3523B2"/>
    <w:rsid w:val="4A443451"/>
    <w:rsid w:val="4A483D90"/>
    <w:rsid w:val="4A615695"/>
    <w:rsid w:val="4A712BA0"/>
    <w:rsid w:val="4A7A21C8"/>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D70D0D"/>
    <w:rsid w:val="4BE55BB9"/>
    <w:rsid w:val="4BE75CB2"/>
    <w:rsid w:val="4BEE16DF"/>
    <w:rsid w:val="4C0F5E43"/>
    <w:rsid w:val="4C23594D"/>
    <w:rsid w:val="4C2941CA"/>
    <w:rsid w:val="4C2E7524"/>
    <w:rsid w:val="4C380520"/>
    <w:rsid w:val="4C3979DB"/>
    <w:rsid w:val="4C3D2514"/>
    <w:rsid w:val="4C3E0FF7"/>
    <w:rsid w:val="4C4128E4"/>
    <w:rsid w:val="4C642696"/>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F06B00"/>
    <w:rsid w:val="4CF76CE2"/>
    <w:rsid w:val="4CF813F9"/>
    <w:rsid w:val="4CFA2A1C"/>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D73A9"/>
    <w:rsid w:val="4DDE509A"/>
    <w:rsid w:val="4DE74431"/>
    <w:rsid w:val="4DF21DFB"/>
    <w:rsid w:val="4DFD3850"/>
    <w:rsid w:val="4E0E6E43"/>
    <w:rsid w:val="4E1702F3"/>
    <w:rsid w:val="4E2369FD"/>
    <w:rsid w:val="4E303544"/>
    <w:rsid w:val="4E33408C"/>
    <w:rsid w:val="4E3D0BD7"/>
    <w:rsid w:val="4E3D42C6"/>
    <w:rsid w:val="4E652349"/>
    <w:rsid w:val="4E710658"/>
    <w:rsid w:val="4E846458"/>
    <w:rsid w:val="4E8603AB"/>
    <w:rsid w:val="4E9D6535"/>
    <w:rsid w:val="4EA2405B"/>
    <w:rsid w:val="4EB244F5"/>
    <w:rsid w:val="4EC250AA"/>
    <w:rsid w:val="4EC43EE2"/>
    <w:rsid w:val="4EDC653A"/>
    <w:rsid w:val="4EE23ABC"/>
    <w:rsid w:val="4F0129AC"/>
    <w:rsid w:val="4F01717B"/>
    <w:rsid w:val="4F097167"/>
    <w:rsid w:val="4F0D434F"/>
    <w:rsid w:val="4F2426EF"/>
    <w:rsid w:val="4F401FBB"/>
    <w:rsid w:val="4F4F565B"/>
    <w:rsid w:val="4F531102"/>
    <w:rsid w:val="4F576D7F"/>
    <w:rsid w:val="4F5A4BC4"/>
    <w:rsid w:val="4F626555"/>
    <w:rsid w:val="4F7933F9"/>
    <w:rsid w:val="4F7B2A3C"/>
    <w:rsid w:val="4F8144A4"/>
    <w:rsid w:val="4F8731AB"/>
    <w:rsid w:val="4F903087"/>
    <w:rsid w:val="4FAD3702"/>
    <w:rsid w:val="4FB23F6E"/>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736D9F"/>
    <w:rsid w:val="509A6650"/>
    <w:rsid w:val="50B14CA7"/>
    <w:rsid w:val="50B42C92"/>
    <w:rsid w:val="50C46433"/>
    <w:rsid w:val="50CA02C2"/>
    <w:rsid w:val="50F04F61"/>
    <w:rsid w:val="50F55DCE"/>
    <w:rsid w:val="50F62803"/>
    <w:rsid w:val="51122A4F"/>
    <w:rsid w:val="5118355B"/>
    <w:rsid w:val="5125613F"/>
    <w:rsid w:val="512A08D6"/>
    <w:rsid w:val="512B081D"/>
    <w:rsid w:val="512B4746"/>
    <w:rsid w:val="5135598E"/>
    <w:rsid w:val="5150314F"/>
    <w:rsid w:val="51526357"/>
    <w:rsid w:val="51533CC7"/>
    <w:rsid w:val="51552566"/>
    <w:rsid w:val="515F7EA6"/>
    <w:rsid w:val="516164B6"/>
    <w:rsid w:val="516372E4"/>
    <w:rsid w:val="516414B3"/>
    <w:rsid w:val="517003D2"/>
    <w:rsid w:val="51887C28"/>
    <w:rsid w:val="519705C8"/>
    <w:rsid w:val="519B3A9C"/>
    <w:rsid w:val="51B33439"/>
    <w:rsid w:val="51B3391D"/>
    <w:rsid w:val="51BD3E01"/>
    <w:rsid w:val="51CB7231"/>
    <w:rsid w:val="51DE6A73"/>
    <w:rsid w:val="51F326E7"/>
    <w:rsid w:val="52037937"/>
    <w:rsid w:val="521956B4"/>
    <w:rsid w:val="52306F10"/>
    <w:rsid w:val="523F19CF"/>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D509EC"/>
    <w:rsid w:val="54D73DC0"/>
    <w:rsid w:val="54D94CB6"/>
    <w:rsid w:val="55093E22"/>
    <w:rsid w:val="553266E7"/>
    <w:rsid w:val="553413DD"/>
    <w:rsid w:val="55367F4D"/>
    <w:rsid w:val="553A13A9"/>
    <w:rsid w:val="55440B0E"/>
    <w:rsid w:val="55494A31"/>
    <w:rsid w:val="554B1F27"/>
    <w:rsid w:val="556D79E1"/>
    <w:rsid w:val="557370C9"/>
    <w:rsid w:val="55794F8B"/>
    <w:rsid w:val="557B4C8B"/>
    <w:rsid w:val="55832F33"/>
    <w:rsid w:val="558A5F58"/>
    <w:rsid w:val="558D782E"/>
    <w:rsid w:val="558F42FA"/>
    <w:rsid w:val="55951C70"/>
    <w:rsid w:val="55B52DF8"/>
    <w:rsid w:val="55BB4B52"/>
    <w:rsid w:val="55CA34C8"/>
    <w:rsid w:val="55CB1CAC"/>
    <w:rsid w:val="55D11067"/>
    <w:rsid w:val="55D1448A"/>
    <w:rsid w:val="55D15F89"/>
    <w:rsid w:val="55D24E7E"/>
    <w:rsid w:val="55EA6D1D"/>
    <w:rsid w:val="55EE45E5"/>
    <w:rsid w:val="55FE6BE4"/>
    <w:rsid w:val="56053523"/>
    <w:rsid w:val="560839E5"/>
    <w:rsid w:val="560A2D1E"/>
    <w:rsid w:val="561B3DC0"/>
    <w:rsid w:val="56211BC6"/>
    <w:rsid w:val="56597936"/>
    <w:rsid w:val="565A3745"/>
    <w:rsid w:val="56674043"/>
    <w:rsid w:val="566A4A9E"/>
    <w:rsid w:val="56890707"/>
    <w:rsid w:val="5694199B"/>
    <w:rsid w:val="56A010CA"/>
    <w:rsid w:val="56A8433D"/>
    <w:rsid w:val="56B50793"/>
    <w:rsid w:val="56D87655"/>
    <w:rsid w:val="56DA3AE3"/>
    <w:rsid w:val="56DC7D13"/>
    <w:rsid w:val="56DD7F29"/>
    <w:rsid w:val="56DF393F"/>
    <w:rsid w:val="56E70250"/>
    <w:rsid w:val="56E82126"/>
    <w:rsid w:val="56F267E1"/>
    <w:rsid w:val="56F54041"/>
    <w:rsid w:val="57036935"/>
    <w:rsid w:val="57066F91"/>
    <w:rsid w:val="571324AB"/>
    <w:rsid w:val="571E6EC9"/>
    <w:rsid w:val="57211E57"/>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87B2D"/>
    <w:rsid w:val="586C05B7"/>
    <w:rsid w:val="586C737F"/>
    <w:rsid w:val="587B333A"/>
    <w:rsid w:val="587F5229"/>
    <w:rsid w:val="588300A0"/>
    <w:rsid w:val="58872DB5"/>
    <w:rsid w:val="58876E23"/>
    <w:rsid w:val="5889510C"/>
    <w:rsid w:val="588E3958"/>
    <w:rsid w:val="58957BD9"/>
    <w:rsid w:val="58A03185"/>
    <w:rsid w:val="58A04280"/>
    <w:rsid w:val="58A4669B"/>
    <w:rsid w:val="58A74E2C"/>
    <w:rsid w:val="58B50A9E"/>
    <w:rsid w:val="58B54357"/>
    <w:rsid w:val="58B67D21"/>
    <w:rsid w:val="58C213D0"/>
    <w:rsid w:val="58CA2633"/>
    <w:rsid w:val="58D108AB"/>
    <w:rsid w:val="58D973ED"/>
    <w:rsid w:val="58E849A9"/>
    <w:rsid w:val="58F14B54"/>
    <w:rsid w:val="590848BC"/>
    <w:rsid w:val="5917423E"/>
    <w:rsid w:val="59383FC3"/>
    <w:rsid w:val="593B0E3D"/>
    <w:rsid w:val="594C374D"/>
    <w:rsid w:val="59523F34"/>
    <w:rsid w:val="59565A07"/>
    <w:rsid w:val="595912C2"/>
    <w:rsid w:val="59826013"/>
    <w:rsid w:val="598C6A35"/>
    <w:rsid w:val="599312D8"/>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734B1"/>
    <w:rsid w:val="5BEA796C"/>
    <w:rsid w:val="5BF12BF0"/>
    <w:rsid w:val="5BF96A75"/>
    <w:rsid w:val="5C1C4A54"/>
    <w:rsid w:val="5C1D6C33"/>
    <w:rsid w:val="5C211073"/>
    <w:rsid w:val="5C284801"/>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4C2BA0"/>
    <w:rsid w:val="5D604556"/>
    <w:rsid w:val="5DA03427"/>
    <w:rsid w:val="5DA12B26"/>
    <w:rsid w:val="5DA52D6F"/>
    <w:rsid w:val="5DBE365D"/>
    <w:rsid w:val="5DF242AA"/>
    <w:rsid w:val="5DF27D5A"/>
    <w:rsid w:val="5DF90388"/>
    <w:rsid w:val="5E033F14"/>
    <w:rsid w:val="5E040059"/>
    <w:rsid w:val="5E084C7B"/>
    <w:rsid w:val="5E0914A4"/>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C57C91"/>
    <w:rsid w:val="5FCE245F"/>
    <w:rsid w:val="5FD32219"/>
    <w:rsid w:val="5FDC1B9B"/>
    <w:rsid w:val="5FF50B7C"/>
    <w:rsid w:val="5FF74A8C"/>
    <w:rsid w:val="5FFB1252"/>
    <w:rsid w:val="60072412"/>
    <w:rsid w:val="600E0E1E"/>
    <w:rsid w:val="60130301"/>
    <w:rsid w:val="60196F3A"/>
    <w:rsid w:val="603043EF"/>
    <w:rsid w:val="604D59E9"/>
    <w:rsid w:val="6053446B"/>
    <w:rsid w:val="606821BD"/>
    <w:rsid w:val="60830074"/>
    <w:rsid w:val="60870B21"/>
    <w:rsid w:val="608E350A"/>
    <w:rsid w:val="6095223F"/>
    <w:rsid w:val="60A869EE"/>
    <w:rsid w:val="60AA0843"/>
    <w:rsid w:val="60AC0C65"/>
    <w:rsid w:val="60AF3BE9"/>
    <w:rsid w:val="60B751F5"/>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262E7A"/>
    <w:rsid w:val="6231003C"/>
    <w:rsid w:val="62366488"/>
    <w:rsid w:val="623B63B7"/>
    <w:rsid w:val="623F4920"/>
    <w:rsid w:val="62494F09"/>
    <w:rsid w:val="624A1B49"/>
    <w:rsid w:val="624E45D8"/>
    <w:rsid w:val="6250617C"/>
    <w:rsid w:val="62520DCA"/>
    <w:rsid w:val="62526C82"/>
    <w:rsid w:val="62666F47"/>
    <w:rsid w:val="62690F67"/>
    <w:rsid w:val="627A370F"/>
    <w:rsid w:val="62990512"/>
    <w:rsid w:val="62B25649"/>
    <w:rsid w:val="62BC6E00"/>
    <w:rsid w:val="62C56FE5"/>
    <w:rsid w:val="62C7240E"/>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A20961"/>
    <w:rsid w:val="63A20A78"/>
    <w:rsid w:val="63A853FB"/>
    <w:rsid w:val="63C75B92"/>
    <w:rsid w:val="63CA29B9"/>
    <w:rsid w:val="63D3253C"/>
    <w:rsid w:val="63DB6970"/>
    <w:rsid w:val="63EC6C3A"/>
    <w:rsid w:val="63F34373"/>
    <w:rsid w:val="63F60575"/>
    <w:rsid w:val="63F77FB1"/>
    <w:rsid w:val="63F97961"/>
    <w:rsid w:val="640E3524"/>
    <w:rsid w:val="640F7FA3"/>
    <w:rsid w:val="64102D47"/>
    <w:rsid w:val="64280937"/>
    <w:rsid w:val="64294638"/>
    <w:rsid w:val="642D5F34"/>
    <w:rsid w:val="642F435C"/>
    <w:rsid w:val="64307255"/>
    <w:rsid w:val="643136E1"/>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37E61"/>
    <w:rsid w:val="659E6DB8"/>
    <w:rsid w:val="65A35E61"/>
    <w:rsid w:val="65A62DB8"/>
    <w:rsid w:val="65B12C47"/>
    <w:rsid w:val="65B22CB3"/>
    <w:rsid w:val="65B867AF"/>
    <w:rsid w:val="65BB367F"/>
    <w:rsid w:val="65CA48D5"/>
    <w:rsid w:val="65DA1825"/>
    <w:rsid w:val="65DC577D"/>
    <w:rsid w:val="65E55DC7"/>
    <w:rsid w:val="660518AD"/>
    <w:rsid w:val="66112D35"/>
    <w:rsid w:val="662249C7"/>
    <w:rsid w:val="662E458E"/>
    <w:rsid w:val="664F1459"/>
    <w:rsid w:val="6660751B"/>
    <w:rsid w:val="66843C27"/>
    <w:rsid w:val="668A358B"/>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F785C"/>
    <w:rsid w:val="68570DC2"/>
    <w:rsid w:val="6865768E"/>
    <w:rsid w:val="6868422B"/>
    <w:rsid w:val="68756660"/>
    <w:rsid w:val="687B65AE"/>
    <w:rsid w:val="68847A53"/>
    <w:rsid w:val="68910854"/>
    <w:rsid w:val="68A208F6"/>
    <w:rsid w:val="68A864AF"/>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F2922"/>
    <w:rsid w:val="6AF317F3"/>
    <w:rsid w:val="6AFF3D73"/>
    <w:rsid w:val="6B0B7BB9"/>
    <w:rsid w:val="6B1444F7"/>
    <w:rsid w:val="6B1C3891"/>
    <w:rsid w:val="6B3F28EF"/>
    <w:rsid w:val="6B4C5F2C"/>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A6208"/>
    <w:rsid w:val="6BFF45AB"/>
    <w:rsid w:val="6C081D85"/>
    <w:rsid w:val="6C0B3C6A"/>
    <w:rsid w:val="6C0B6EFE"/>
    <w:rsid w:val="6C337910"/>
    <w:rsid w:val="6C404FA0"/>
    <w:rsid w:val="6C4B4E38"/>
    <w:rsid w:val="6C5343CE"/>
    <w:rsid w:val="6C5643DD"/>
    <w:rsid w:val="6C727D8C"/>
    <w:rsid w:val="6C7C29A7"/>
    <w:rsid w:val="6C804214"/>
    <w:rsid w:val="6C866650"/>
    <w:rsid w:val="6CB56876"/>
    <w:rsid w:val="6CC419F3"/>
    <w:rsid w:val="6CC469B5"/>
    <w:rsid w:val="6CC52465"/>
    <w:rsid w:val="6CC5648B"/>
    <w:rsid w:val="6CCC3EC6"/>
    <w:rsid w:val="6CCC7BAE"/>
    <w:rsid w:val="6CCD2866"/>
    <w:rsid w:val="6CE97F64"/>
    <w:rsid w:val="6CEB0E2F"/>
    <w:rsid w:val="6CF106AD"/>
    <w:rsid w:val="6CF549E6"/>
    <w:rsid w:val="6CFA1076"/>
    <w:rsid w:val="6CFA777D"/>
    <w:rsid w:val="6D05647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E000876"/>
    <w:rsid w:val="6E001DCA"/>
    <w:rsid w:val="6E014891"/>
    <w:rsid w:val="6E072568"/>
    <w:rsid w:val="6E097405"/>
    <w:rsid w:val="6E0E1028"/>
    <w:rsid w:val="6E101629"/>
    <w:rsid w:val="6E145A7C"/>
    <w:rsid w:val="6E160D9C"/>
    <w:rsid w:val="6E2C098B"/>
    <w:rsid w:val="6E4662DC"/>
    <w:rsid w:val="6E511E37"/>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E63697"/>
    <w:rsid w:val="71F723E8"/>
    <w:rsid w:val="7202528F"/>
    <w:rsid w:val="72196F07"/>
    <w:rsid w:val="721C71DD"/>
    <w:rsid w:val="72317074"/>
    <w:rsid w:val="723472E2"/>
    <w:rsid w:val="72357F64"/>
    <w:rsid w:val="72386A0D"/>
    <w:rsid w:val="7252252A"/>
    <w:rsid w:val="726C5886"/>
    <w:rsid w:val="727205E6"/>
    <w:rsid w:val="727262A0"/>
    <w:rsid w:val="727B396C"/>
    <w:rsid w:val="72806500"/>
    <w:rsid w:val="728511DC"/>
    <w:rsid w:val="728A019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F641AB"/>
    <w:rsid w:val="73F92E98"/>
    <w:rsid w:val="740E2030"/>
    <w:rsid w:val="74144EA0"/>
    <w:rsid w:val="741474A6"/>
    <w:rsid w:val="741D661B"/>
    <w:rsid w:val="741E6193"/>
    <w:rsid w:val="74291CE9"/>
    <w:rsid w:val="742A3BDB"/>
    <w:rsid w:val="74347BB6"/>
    <w:rsid w:val="743A3D1F"/>
    <w:rsid w:val="744426E2"/>
    <w:rsid w:val="745466A7"/>
    <w:rsid w:val="74601BD6"/>
    <w:rsid w:val="74750914"/>
    <w:rsid w:val="74785503"/>
    <w:rsid w:val="74822038"/>
    <w:rsid w:val="74830D5C"/>
    <w:rsid w:val="748322C2"/>
    <w:rsid w:val="748C29E9"/>
    <w:rsid w:val="749E3408"/>
    <w:rsid w:val="74A60988"/>
    <w:rsid w:val="74AB4551"/>
    <w:rsid w:val="74B94487"/>
    <w:rsid w:val="74D34A2A"/>
    <w:rsid w:val="74E0285E"/>
    <w:rsid w:val="74E41E18"/>
    <w:rsid w:val="74EE7A3F"/>
    <w:rsid w:val="74F4751F"/>
    <w:rsid w:val="74F94A87"/>
    <w:rsid w:val="74F97E05"/>
    <w:rsid w:val="75010FAB"/>
    <w:rsid w:val="751968C4"/>
    <w:rsid w:val="752341C1"/>
    <w:rsid w:val="755172C5"/>
    <w:rsid w:val="755529D0"/>
    <w:rsid w:val="7567351D"/>
    <w:rsid w:val="75692C6E"/>
    <w:rsid w:val="757C1012"/>
    <w:rsid w:val="759B6AFB"/>
    <w:rsid w:val="759E4EA7"/>
    <w:rsid w:val="75A10E22"/>
    <w:rsid w:val="75C068A9"/>
    <w:rsid w:val="75CC0E61"/>
    <w:rsid w:val="75CE0374"/>
    <w:rsid w:val="75DB4086"/>
    <w:rsid w:val="75DF68BB"/>
    <w:rsid w:val="75E417B2"/>
    <w:rsid w:val="76132FE4"/>
    <w:rsid w:val="762239BB"/>
    <w:rsid w:val="762A014F"/>
    <w:rsid w:val="76301DC9"/>
    <w:rsid w:val="763656E0"/>
    <w:rsid w:val="763C3EA3"/>
    <w:rsid w:val="76400507"/>
    <w:rsid w:val="764440D9"/>
    <w:rsid w:val="765C674B"/>
    <w:rsid w:val="7663578F"/>
    <w:rsid w:val="768E55DA"/>
    <w:rsid w:val="769F6C8C"/>
    <w:rsid w:val="76A0160E"/>
    <w:rsid w:val="76A54445"/>
    <w:rsid w:val="76BD097A"/>
    <w:rsid w:val="76C44FAF"/>
    <w:rsid w:val="76C5396B"/>
    <w:rsid w:val="76CE25D0"/>
    <w:rsid w:val="76D64223"/>
    <w:rsid w:val="76E30140"/>
    <w:rsid w:val="76E61D96"/>
    <w:rsid w:val="76EB730E"/>
    <w:rsid w:val="76F63E3A"/>
    <w:rsid w:val="76F754DC"/>
    <w:rsid w:val="77363120"/>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D0357"/>
    <w:rsid w:val="78555C36"/>
    <w:rsid w:val="785B044D"/>
    <w:rsid w:val="785F7AC3"/>
    <w:rsid w:val="78617FD5"/>
    <w:rsid w:val="78854964"/>
    <w:rsid w:val="788F6B73"/>
    <w:rsid w:val="78981E14"/>
    <w:rsid w:val="78A16DC0"/>
    <w:rsid w:val="78A64E78"/>
    <w:rsid w:val="78A81C0C"/>
    <w:rsid w:val="78BC4079"/>
    <w:rsid w:val="78BF6574"/>
    <w:rsid w:val="78CB79FF"/>
    <w:rsid w:val="78D163F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E1E8C"/>
    <w:rsid w:val="794E6DA1"/>
    <w:rsid w:val="795718DC"/>
    <w:rsid w:val="795A7853"/>
    <w:rsid w:val="79625528"/>
    <w:rsid w:val="7963001B"/>
    <w:rsid w:val="796411F3"/>
    <w:rsid w:val="796528F1"/>
    <w:rsid w:val="79782668"/>
    <w:rsid w:val="797D7C7B"/>
    <w:rsid w:val="798473C1"/>
    <w:rsid w:val="798D0CB1"/>
    <w:rsid w:val="79A917D5"/>
    <w:rsid w:val="79F866D7"/>
    <w:rsid w:val="7A0D5030"/>
    <w:rsid w:val="7A1F0B92"/>
    <w:rsid w:val="7A2F0FE2"/>
    <w:rsid w:val="7A2F6A25"/>
    <w:rsid w:val="7A320603"/>
    <w:rsid w:val="7A375628"/>
    <w:rsid w:val="7A3B0D02"/>
    <w:rsid w:val="7A3C0448"/>
    <w:rsid w:val="7A462225"/>
    <w:rsid w:val="7A4B1579"/>
    <w:rsid w:val="7A4E44E1"/>
    <w:rsid w:val="7A560120"/>
    <w:rsid w:val="7A644184"/>
    <w:rsid w:val="7A9B085A"/>
    <w:rsid w:val="7A9B6D29"/>
    <w:rsid w:val="7A9F5588"/>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C1687"/>
    <w:rsid w:val="7DDC5561"/>
    <w:rsid w:val="7DE53A1D"/>
    <w:rsid w:val="7DE805EC"/>
    <w:rsid w:val="7DEE1D9E"/>
    <w:rsid w:val="7DFB2768"/>
    <w:rsid w:val="7E0D1655"/>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BE35F80-D3E7-45F8-A2CC-DE698D3DA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Theme="minorEastAsia" w:hAnsi="Times New Roman" w:cs="Times New Roman"/>
      <w:kern w:val="2"/>
      <w:sz w:val="21"/>
      <w:szCs w:val="24"/>
    </w:rPr>
  </w:style>
  <w:style w:type="paragraph" w:styleId="1">
    <w:name w:val="heading 1"/>
    <w:basedOn w:val="a"/>
    <w:next w:val="Doc-title"/>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24"/>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a4">
    <w:name w:val="annotation subject"/>
    <w:basedOn w:val="a5"/>
    <w:next w:val="a5"/>
    <w:link w:val="Char"/>
    <w:semiHidden/>
    <w:qFormat/>
    <w:pPr>
      <w:widowControl/>
      <w:spacing w:before="40"/>
    </w:pPr>
    <w:rPr>
      <w:rFonts w:ascii="Arial" w:eastAsia="MS Mincho" w:hAnsi="Arial"/>
      <w:b/>
      <w:bCs/>
      <w:kern w:val="0"/>
      <w:sz w:val="20"/>
      <w:szCs w:val="20"/>
      <w:lang w:val="en-GB" w:eastAsia="en-GB"/>
    </w:rPr>
  </w:style>
  <w:style w:type="paragraph" w:styleId="a5">
    <w:name w:val="annotation text"/>
    <w:basedOn w:val="a"/>
    <w:link w:val="Char1"/>
    <w:unhideWhenUsed/>
    <w:qFormat/>
    <w:pPr>
      <w:jc w:val="left"/>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6"/>
    <w:qFormat/>
    <w:pPr>
      <w:ind w:left="851"/>
    </w:pPr>
  </w:style>
  <w:style w:type="paragraph" w:styleId="a6">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7"/>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7">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8">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9">
    <w:name w:val="Document Map"/>
    <w:basedOn w:val="a"/>
    <w:link w:val="Char2"/>
    <w:unhideWhenUsed/>
    <w:qFormat/>
    <w:rPr>
      <w:rFonts w:ascii="宋体"/>
      <w:sz w:val="18"/>
      <w:szCs w:val="18"/>
    </w:rPr>
  </w:style>
  <w:style w:type="paragraph" w:styleId="60">
    <w:name w:val="index 6"/>
    <w:basedOn w:val="a"/>
    <w:next w:val="a"/>
    <w:qFormat/>
    <w:pPr>
      <w:ind w:left="1260" w:hanging="210"/>
      <w:jc w:val="left"/>
    </w:pPr>
    <w:rPr>
      <w:rFonts w:ascii="Calibri" w:hAnsi="Calibri"/>
      <w:sz w:val="20"/>
      <w:szCs w:val="20"/>
    </w:rPr>
  </w:style>
  <w:style w:type="paragraph" w:styleId="aa">
    <w:name w:val="Body Text"/>
    <w:basedOn w:val="a"/>
    <w:link w:val="Char3"/>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b">
    <w:name w:val="Plain Text"/>
    <w:basedOn w:val="a"/>
    <w:link w:val="Char4"/>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c">
    <w:name w:val="endnote text"/>
    <w:basedOn w:val="a"/>
    <w:link w:val="Char5"/>
    <w:qFormat/>
    <w:pPr>
      <w:snapToGrid w:val="0"/>
      <w:jc w:val="left"/>
    </w:pPr>
  </w:style>
  <w:style w:type="paragraph" w:styleId="ad">
    <w:name w:val="Balloon Text"/>
    <w:basedOn w:val="a"/>
    <w:link w:val="Char6"/>
    <w:unhideWhenUsed/>
    <w:qFormat/>
    <w:rPr>
      <w:sz w:val="18"/>
      <w:szCs w:val="18"/>
    </w:rPr>
  </w:style>
  <w:style w:type="paragraph" w:styleId="ae">
    <w:name w:val="footer"/>
    <w:basedOn w:val="a"/>
    <w:link w:val="Char7"/>
    <w:uiPriority w:val="99"/>
    <w:qFormat/>
    <w:pPr>
      <w:tabs>
        <w:tab w:val="center" w:pos="4153"/>
        <w:tab w:val="right" w:pos="8306"/>
      </w:tabs>
      <w:snapToGrid w:val="0"/>
      <w:jc w:val="left"/>
    </w:pPr>
    <w:rPr>
      <w:sz w:val="18"/>
      <w:szCs w:val="18"/>
    </w:rPr>
  </w:style>
  <w:style w:type="paragraph" w:styleId="af">
    <w:name w:val="header"/>
    <w:basedOn w:val="a"/>
    <w:link w:val="Char8"/>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0">
    <w:name w:val="index heading"/>
    <w:basedOn w:val="a"/>
    <w:next w:val="11"/>
    <w:qFormat/>
    <w:pPr>
      <w:spacing w:before="120" w:after="120"/>
      <w:jc w:val="center"/>
    </w:pPr>
    <w:rPr>
      <w:rFonts w:ascii="Calibri" w:hAnsi="Calibri"/>
      <w:b/>
      <w:bCs/>
      <w:iCs/>
      <w:szCs w:val="20"/>
    </w:rPr>
  </w:style>
  <w:style w:type="paragraph" w:styleId="11">
    <w:name w:val="index 1"/>
    <w:basedOn w:val="a"/>
    <w:next w:val="af1"/>
    <w:qFormat/>
    <w:pPr>
      <w:tabs>
        <w:tab w:val="right" w:leader="dot" w:pos="9299"/>
      </w:tabs>
      <w:jc w:val="left"/>
    </w:pPr>
    <w:rPr>
      <w:rFonts w:ascii="宋体"/>
      <w:szCs w:val="21"/>
    </w:rPr>
  </w:style>
  <w:style w:type="paragraph" w:customStyle="1" w:styleId="af1">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cs="Times New Roman"/>
      <w:sz w:val="21"/>
    </w:rPr>
  </w:style>
  <w:style w:type="paragraph" w:styleId="af2">
    <w:name w:val="footnote text"/>
    <w:basedOn w:val="a"/>
    <w:link w:val="Char9"/>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3">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4">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character" w:styleId="af5">
    <w:name w:val="endnote reference"/>
    <w:basedOn w:val="a0"/>
    <w:qFormat/>
    <w:rPr>
      <w:vertAlign w:val="superscript"/>
    </w:rPr>
  </w:style>
  <w:style w:type="character" w:styleId="af6">
    <w:name w:val="page number"/>
    <w:basedOn w:val="a0"/>
    <w:qFormat/>
  </w:style>
  <w:style w:type="character" w:styleId="af7">
    <w:name w:val="FollowedHyperlink"/>
    <w:basedOn w:val="a0"/>
    <w:qFormat/>
    <w:rPr>
      <w:color w:val="800080"/>
      <w:u w:val="single"/>
    </w:rPr>
  </w:style>
  <w:style w:type="character" w:styleId="af8">
    <w:name w:val="Emphasis"/>
    <w:qFormat/>
    <w:rPr>
      <w:i/>
      <w:iCs/>
    </w:rPr>
  </w:style>
  <w:style w:type="character" w:styleId="af9">
    <w:name w:val="Hyperlink"/>
    <w:basedOn w:val="a0"/>
    <w:uiPriority w:val="99"/>
    <w:qFormat/>
    <w:rPr>
      <w:color w:val="0000FF"/>
      <w:spacing w:val="0"/>
      <w:w w:val="100"/>
      <w:szCs w:val="21"/>
      <w:u w:val="single"/>
      <w:lang w:val="en-US" w:eastAsia="zh-CN"/>
    </w:rPr>
  </w:style>
  <w:style w:type="character" w:styleId="afa">
    <w:name w:val="annotation reference"/>
    <w:qFormat/>
    <w:rPr>
      <w:sz w:val="16"/>
    </w:rPr>
  </w:style>
  <w:style w:type="character" w:styleId="afb">
    <w:name w:val="footnote reference"/>
    <w:basedOn w:val="a0"/>
    <w:qFormat/>
    <w:rPr>
      <w:vertAlign w:val="superscript"/>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框文本 Char"/>
    <w:basedOn w:val="a0"/>
    <w:link w:val="ad"/>
    <w:qFormat/>
    <w:rPr>
      <w:kern w:val="2"/>
      <w:sz w:val="18"/>
      <w:szCs w:val="18"/>
    </w:rPr>
  </w:style>
  <w:style w:type="paragraph" w:customStyle="1" w:styleId="12">
    <w:name w:val="列出段落1"/>
    <w:basedOn w:val="a"/>
    <w:link w:val="Chara"/>
    <w:uiPriority w:val="99"/>
    <w:unhideWhenUsed/>
    <w:qFormat/>
    <w:pPr>
      <w:ind w:firstLineChars="200" w:firstLine="420"/>
    </w:pPr>
  </w:style>
  <w:style w:type="character" w:customStyle="1" w:styleId="Char2">
    <w:name w:val="文档结构图 Char"/>
    <w:basedOn w:val="a0"/>
    <w:link w:val="a9"/>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4"/>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8"/>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
    <w:name w:val="批注主题 Char"/>
    <w:basedOn w:val="Charb"/>
    <w:link w:val="a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1"/>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7">
    <w:name w:val="页脚 Char"/>
    <w:link w:val="ae"/>
    <w:uiPriority w:val="99"/>
    <w:qFormat/>
    <w:rPr>
      <w:kern w:val="2"/>
      <w:sz w:val="18"/>
      <w:szCs w:val="18"/>
    </w:rPr>
  </w:style>
  <w:style w:type="character" w:customStyle="1" w:styleId="13">
    <w:name w:val="占位符文本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1"/>
    <w:next w:val="af1"/>
    <w:link w:val="CharChar0"/>
    <w:qFormat/>
  </w:style>
  <w:style w:type="character" w:customStyle="1" w:styleId="Char4">
    <w:name w:val="纯文本 Char"/>
    <w:basedOn w:val="a0"/>
    <w:link w:val="ab"/>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1"/>
    <w:link w:val="CharChar1"/>
    <w:qFormat/>
    <w:pPr>
      <w:tabs>
        <w:tab w:val="left" w:pos="360"/>
      </w:tabs>
    </w:pPr>
    <w:rPr>
      <w:rFonts w:ascii="宋体" w:eastAsiaTheme="minorEastAsia" w:hAnsi="宋体" w:cs="Times New Roma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a0"/>
    <w:link w:val="aa"/>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8">
    <w:name w:val="页眉 Char"/>
    <w:link w:val="af"/>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cs="Times New Roman"/>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1"/>
    <w:qFormat/>
    <w:pPr>
      <w:jc w:val="center"/>
    </w:pPr>
    <w:rPr>
      <w:rFonts w:ascii="宋体" w:eastAsiaTheme="minorEastAsia" w:hAnsi="Times New Roman" w:cs="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cs="Times New Roman"/>
      <w:sz w:val="18"/>
      <w:szCs w:val="18"/>
    </w:rPr>
  </w:style>
  <w:style w:type="paragraph" w:customStyle="1" w:styleId="aff3">
    <w:name w:val="示例内容"/>
    <w:qFormat/>
    <w:pPr>
      <w:ind w:firstLineChars="200" w:firstLine="200"/>
    </w:pPr>
    <w:rPr>
      <w:rFonts w:ascii="宋体" w:eastAsiaTheme="minorEastAsia" w:hAnsi="Times New Roman" w:cs="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cs="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cs="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cs="Times New Roman"/>
      <w:lang w:eastAsia="en-US"/>
    </w:rPr>
  </w:style>
  <w:style w:type="paragraph" w:customStyle="1" w:styleId="aff7">
    <w:name w:val="三级条标题"/>
    <w:basedOn w:val="aff8"/>
    <w:next w:val="af1"/>
    <w:qFormat/>
    <w:pPr>
      <w:outlineLvl w:val="4"/>
    </w:pPr>
  </w:style>
  <w:style w:type="paragraph" w:customStyle="1" w:styleId="aff8">
    <w:name w:val="二级条标题"/>
    <w:basedOn w:val="aff9"/>
    <w:next w:val="af1"/>
    <w:qFormat/>
    <w:pPr>
      <w:spacing w:beforeLines="0" w:afterLines="0"/>
      <w:outlineLvl w:val="3"/>
    </w:pPr>
  </w:style>
  <w:style w:type="paragraph" w:customStyle="1" w:styleId="aff9">
    <w:name w:val="一级条标题"/>
    <w:next w:val="af1"/>
    <w:qFormat/>
    <w:pPr>
      <w:spacing w:beforeLines="50" w:afterLines="50" w:after="200"/>
      <w:outlineLvl w:val="2"/>
    </w:pPr>
    <w:rPr>
      <w:rFonts w:ascii="黑体" w:eastAsia="黑体" w:hAnsi="Times New Roman" w:cs="Times New Roman"/>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a">
    <w:name w:val="附录一级条标题"/>
    <w:basedOn w:val="affb"/>
    <w:next w:val="af1"/>
    <w:qFormat/>
    <w:pPr>
      <w:tabs>
        <w:tab w:val="left" w:pos="720"/>
      </w:tabs>
      <w:autoSpaceDN w:val="0"/>
      <w:spacing w:beforeLines="50" w:afterLines="50"/>
      <w:ind w:left="720" w:hanging="720"/>
      <w:outlineLvl w:val="2"/>
    </w:pPr>
  </w:style>
  <w:style w:type="paragraph" w:customStyle="1" w:styleId="affb">
    <w:name w:val="附录章标题"/>
    <w:next w:val="af1"/>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hAnsi="Times New Roman" w:cs="Times New Roman"/>
      <w:kern w:val="21"/>
      <w:sz w:val="21"/>
    </w:rPr>
  </w:style>
  <w:style w:type="paragraph" w:customStyle="1" w:styleId="affc">
    <w:name w:val="四级条标题"/>
    <w:basedOn w:val="aff7"/>
    <w:next w:val="af1"/>
    <w:qFormat/>
    <w:pPr>
      <w:outlineLvl w:val="5"/>
    </w:pPr>
  </w:style>
  <w:style w:type="character" w:customStyle="1" w:styleId="Char9">
    <w:name w:val="脚注文本 Char"/>
    <w:basedOn w:val="a0"/>
    <w:link w:val="af2"/>
    <w:qFormat/>
    <w:rPr>
      <w:rFonts w:ascii="宋体"/>
      <w:kern w:val="2"/>
      <w:sz w:val="18"/>
      <w:szCs w:val="18"/>
    </w:rPr>
  </w:style>
  <w:style w:type="paragraph" w:customStyle="1" w:styleId="affd">
    <w:name w:val="章标题"/>
    <w:next w:val="af1"/>
    <w:qFormat/>
    <w:pPr>
      <w:spacing w:beforeLines="100" w:afterLines="100" w:after="200"/>
      <w:jc w:val="both"/>
      <w:outlineLvl w:val="1"/>
    </w:pPr>
    <w:rPr>
      <w:rFonts w:ascii="黑体" w:eastAsia="黑体" w:hAnsi="Times New Roman" w:cs="Times New Roman"/>
      <w:sz w:val="21"/>
    </w:rPr>
  </w:style>
  <w:style w:type="paragraph" w:customStyle="1" w:styleId="affe">
    <w:name w:val="正文表标题"/>
    <w:next w:val="af1"/>
    <w:qFormat/>
    <w:pPr>
      <w:tabs>
        <w:tab w:val="left" w:pos="0"/>
        <w:tab w:val="left" w:pos="360"/>
      </w:tabs>
      <w:spacing w:beforeLines="50" w:afterLines="50" w:after="200"/>
      <w:ind w:left="720" w:hanging="357"/>
      <w:jc w:val="center"/>
    </w:pPr>
    <w:rPr>
      <w:rFonts w:ascii="黑体" w:eastAsia="黑体" w:hAnsi="Times New Roman" w:cs="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
    <w:name w:val="注："/>
    <w:next w:val="af1"/>
    <w:qFormat/>
    <w:pPr>
      <w:widowControl w:val="0"/>
      <w:autoSpaceDE w:val="0"/>
      <w:autoSpaceDN w:val="0"/>
      <w:jc w:val="both"/>
    </w:pPr>
    <w:rPr>
      <w:rFonts w:ascii="宋体" w:eastAsiaTheme="minorEastAsia" w:hAnsi="Times New Roman" w:cs="Times New Roman"/>
      <w:sz w:val="18"/>
      <w:szCs w:val="18"/>
    </w:rPr>
  </w:style>
  <w:style w:type="paragraph" w:customStyle="1" w:styleId="afff0">
    <w:name w:val="附录五级条标题"/>
    <w:basedOn w:val="afff1"/>
    <w:next w:val="af1"/>
    <w:qFormat/>
    <w:pPr>
      <w:tabs>
        <w:tab w:val="left" w:pos="1296"/>
      </w:tabs>
      <w:ind w:left="1296" w:hanging="1296"/>
      <w:outlineLvl w:val="6"/>
    </w:pPr>
  </w:style>
  <w:style w:type="paragraph" w:customStyle="1" w:styleId="afff1">
    <w:name w:val="附录四级条标题"/>
    <w:basedOn w:val="afff2"/>
    <w:next w:val="af1"/>
    <w:qFormat/>
    <w:pPr>
      <w:outlineLvl w:val="5"/>
    </w:pPr>
  </w:style>
  <w:style w:type="paragraph" w:customStyle="1" w:styleId="afff2">
    <w:name w:val="附录三级条标题"/>
    <w:basedOn w:val="afff3"/>
    <w:next w:val="af1"/>
    <w:qFormat/>
    <w:pPr>
      <w:tabs>
        <w:tab w:val="left" w:pos="1008"/>
      </w:tabs>
      <w:ind w:left="1008" w:hanging="1008"/>
      <w:outlineLvl w:val="4"/>
    </w:pPr>
  </w:style>
  <w:style w:type="paragraph" w:customStyle="1" w:styleId="afff3">
    <w:name w:val="附录二级条标题"/>
    <w:basedOn w:val="a"/>
    <w:next w:val="af1"/>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cs="Times New Roman"/>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beforeLines="0"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cs="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cs="Times New Roman"/>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cs="Times New Roman"/>
      <w:sz w:val="52"/>
    </w:rPr>
  </w:style>
  <w:style w:type="paragraph" w:customStyle="1" w:styleId="afffd">
    <w:name w:val="五级条标题"/>
    <w:basedOn w:val="affc"/>
    <w:next w:val="af1"/>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cs="Times New Roman"/>
      <w:sz w:val="21"/>
      <w:szCs w:val="21"/>
    </w:rPr>
  </w:style>
  <w:style w:type="character" w:customStyle="1" w:styleId="Char1">
    <w:name w:val="批注文字 Char1"/>
    <w:basedOn w:val="a0"/>
    <w:link w:val="a5"/>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cs="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cs="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cs="Times New Roman"/>
      <w:lang w:eastAsia="en-US"/>
    </w:rPr>
  </w:style>
  <w:style w:type="paragraph" w:customStyle="1" w:styleId="affff0">
    <w:name w:val="三级无"/>
    <w:basedOn w:val="aff7"/>
    <w:qFormat/>
    <w:rPr>
      <w:rFonts w:ascii="宋体" w:eastAsia="宋体"/>
    </w:rPr>
  </w:style>
  <w:style w:type="paragraph" w:customStyle="1" w:styleId="affff1">
    <w:name w:val="条文脚注"/>
    <w:basedOn w:val="af2"/>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cs="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cs="Times New Roman"/>
      <w:sz w:val="32"/>
      <w:lang w:eastAsia="en-US"/>
    </w:rPr>
  </w:style>
  <w:style w:type="paragraph" w:customStyle="1" w:styleId="affff4">
    <w:name w:val="标准书眉一"/>
    <w:qFormat/>
    <w:pPr>
      <w:jc w:val="both"/>
    </w:pPr>
    <w:rPr>
      <w:rFonts w:ascii="Times New Roman" w:eastAsiaTheme="minorEastAsia" w:hAnsi="Times New Roman" w:cs="Times New Roman"/>
    </w:rPr>
  </w:style>
  <w:style w:type="paragraph" w:customStyle="1" w:styleId="affff5">
    <w:name w:val="附录五级无"/>
    <w:basedOn w:val="afff0"/>
    <w:qFormat/>
    <w:pPr>
      <w:tabs>
        <w:tab w:val="clear" w:pos="360"/>
      </w:tabs>
      <w:spacing w:beforeLines="0" w:afterLines="0"/>
    </w:pPr>
    <w:rPr>
      <w:rFonts w:ascii="宋体" w:eastAsia="宋体"/>
      <w:szCs w:val="21"/>
    </w:rPr>
  </w:style>
  <w:style w:type="paragraph" w:customStyle="1" w:styleId="affff6">
    <w:name w:val="图的脚注"/>
    <w:next w:val="af1"/>
    <w:qFormat/>
    <w:pPr>
      <w:widowControl w:val="0"/>
      <w:ind w:leftChars="200" w:left="840" w:hangingChars="200" w:hanging="420"/>
      <w:jc w:val="both"/>
    </w:pPr>
    <w:rPr>
      <w:rFonts w:ascii="宋体" w:eastAsiaTheme="minorEastAsia" w:hAnsi="Times New Roman" w:cs="Times New Roman"/>
      <w:sz w:val="18"/>
    </w:rPr>
  </w:style>
  <w:style w:type="character" w:customStyle="1" w:styleId="Char5">
    <w:name w:val="尾注文本 Char"/>
    <w:basedOn w:val="a0"/>
    <w:link w:val="ac"/>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cs="Times New Roman"/>
      <w:lang w:eastAsia="en-US"/>
    </w:rPr>
  </w:style>
  <w:style w:type="paragraph" w:customStyle="1" w:styleId="affff7">
    <w:name w:val="编号列项（三级）"/>
    <w:qFormat/>
    <w:rPr>
      <w:rFonts w:ascii="宋体" w:eastAsiaTheme="minorEastAsia" w:hAnsi="Times New Roman" w:cs="Times New Roman"/>
      <w:sz w:val="21"/>
    </w:rPr>
  </w:style>
  <w:style w:type="paragraph" w:customStyle="1" w:styleId="affff8">
    <w:name w:val="附录公式编号制表符"/>
    <w:basedOn w:val="a"/>
    <w:next w:val="af1"/>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cs="Times New Roman"/>
      <w:spacing w:val="-40"/>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b">
    <w:name w:val="示例后文字"/>
    <w:basedOn w:val="af1"/>
    <w:next w:val="af1"/>
    <w:qFormat/>
    <w:pPr>
      <w:ind w:firstLine="360"/>
    </w:pPr>
    <w:rPr>
      <w:sz w:val="18"/>
    </w:rPr>
  </w:style>
  <w:style w:type="paragraph" w:customStyle="1" w:styleId="affffc">
    <w:name w:val="图标脚注说明"/>
    <w:basedOn w:val="af1"/>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e">
    <w:name w:val="参考文献"/>
    <w:basedOn w:val="a"/>
    <w:next w:val="af1"/>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1"/>
    <w:qFormat/>
    <w:pPr>
      <w:tabs>
        <w:tab w:val="left" w:pos="1304"/>
      </w:tabs>
      <w:spacing w:beforeLines="50" w:afterLines="50" w:after="200"/>
      <w:ind w:left="1304" w:hanging="1304"/>
      <w:jc w:val="center"/>
    </w:pPr>
    <w:rPr>
      <w:rFonts w:ascii="黑体" w:eastAsia="黑体" w:hAnsi="Times New Roman" w:cs="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0">
    <w:name w:val="其他实施日期"/>
    <w:basedOn w:val="afff7"/>
    <w:qFormat/>
  </w:style>
  <w:style w:type="paragraph" w:customStyle="1" w:styleId="afffff1">
    <w:name w:val="附录标识"/>
    <w:basedOn w:val="a"/>
    <w:next w:val="af1"/>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cs="Times New Roman"/>
      <w:sz w:val="18"/>
      <w:szCs w:val="18"/>
    </w:rPr>
  </w:style>
  <w:style w:type="paragraph" w:customStyle="1" w:styleId="afffff6">
    <w:name w:val="附录表标号"/>
    <w:basedOn w:val="a"/>
    <w:next w:val="af1"/>
    <w:qFormat/>
    <w:pPr>
      <w:spacing w:line="14" w:lineRule="exact"/>
      <w:ind w:left="811" w:hanging="448"/>
      <w:jc w:val="center"/>
      <w:outlineLvl w:val="0"/>
    </w:pPr>
    <w:rPr>
      <w:color w:val="FFFFFF"/>
    </w:rPr>
  </w:style>
  <w:style w:type="paragraph" w:customStyle="1" w:styleId="afffff7">
    <w:name w:val="附录图标题"/>
    <w:basedOn w:val="a"/>
    <w:next w:val="af1"/>
    <w:qFormat/>
    <w:pPr>
      <w:tabs>
        <w:tab w:val="left" w:pos="363"/>
      </w:tabs>
      <w:spacing w:beforeLines="50" w:afterLines="50"/>
      <w:jc w:val="center"/>
    </w:pPr>
    <w:rPr>
      <w:rFonts w:ascii="黑体" w:eastAsia="黑体"/>
      <w:szCs w:val="21"/>
    </w:rPr>
  </w:style>
  <w:style w:type="paragraph" w:customStyle="1" w:styleId="afffff8">
    <w:name w:val="附录标题"/>
    <w:basedOn w:val="af1"/>
    <w:next w:val="af1"/>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cs="Times New Roman"/>
      <w:sz w:val="21"/>
    </w:rPr>
  </w:style>
  <w:style w:type="paragraph" w:customStyle="1" w:styleId="TAC">
    <w:name w:val="TAC"/>
    <w:basedOn w:val="TAL"/>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cs="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cs="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cs="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cs="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1"/>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1"/>
    <w:next w:val="af1"/>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cs="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cs="Times New Roman"/>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cs="Times New Roman"/>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cs="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1"/>
    <w:qFormat/>
    <w:pPr>
      <w:keepNext/>
      <w:pageBreakBefore/>
      <w:shd w:val="clear" w:color="FFFFFF" w:fill="FFFFFF"/>
      <w:spacing w:before="640" w:after="560"/>
      <w:jc w:val="center"/>
      <w:outlineLvl w:val="0"/>
    </w:pPr>
    <w:rPr>
      <w:rFonts w:ascii="黑体" w:eastAsia="黑体" w:hAnsi="Times New Roman" w:cs="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14">
    <w:name w:val="修订1"/>
    <w:uiPriority w:val="99"/>
    <w:semiHidden/>
    <w:qFormat/>
    <w:rPr>
      <w:rFonts w:ascii="Arial" w:eastAsia="MS Mincho" w:hAnsi="Arial" w:cs="Times New Roman"/>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1"/>
    <w:qFormat/>
    <w:pPr>
      <w:tabs>
        <w:tab w:val="left" w:pos="180"/>
      </w:tabs>
      <w:spacing w:beforeLines="50"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cs="Times New Roman"/>
      <w:sz w:val="18"/>
      <w:szCs w:val="18"/>
    </w:rPr>
  </w:style>
  <w:style w:type="paragraph" w:customStyle="1" w:styleId="affffffd">
    <w:name w:val="附录二级无"/>
    <w:basedOn w:val="afff3"/>
    <w:qFormat/>
    <w:pPr>
      <w:tabs>
        <w:tab w:val="clear" w:pos="360"/>
      </w:tabs>
      <w:spacing w:beforeLines="0"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cs="Times New Roman"/>
      <w:sz w:val="21"/>
    </w:rPr>
  </w:style>
  <w:style w:type="paragraph" w:customStyle="1" w:styleId="afffffff0">
    <w:name w:val="目次、标准名称标题"/>
    <w:basedOn w:val="a"/>
    <w:next w:val="af1"/>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cs="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cs="Times New Roman"/>
      <w:b/>
      <w:sz w:val="34"/>
      <w:lang w:val="en-GB" w:eastAsia="en-US"/>
    </w:rPr>
  </w:style>
  <w:style w:type="paragraph" w:customStyle="1" w:styleId="afffffff2">
    <w:name w:val="标准书脚_偶数页"/>
    <w:qFormat/>
    <w:pPr>
      <w:spacing w:before="120"/>
      <w:ind w:left="221"/>
    </w:pPr>
    <w:rPr>
      <w:rFonts w:ascii="宋体" w:eastAsiaTheme="minorEastAsia" w:hAnsi="Times New Roman" w:cs="Times New Roman"/>
      <w:sz w:val="18"/>
      <w:szCs w:val="18"/>
    </w:rPr>
  </w:style>
  <w:style w:type="paragraph" w:customStyle="1" w:styleId="EW">
    <w:name w:val="EW"/>
    <w:basedOn w:val="EX"/>
    <w:qFormat/>
    <w:pPr>
      <w:spacing w:after="0"/>
    </w:pPr>
  </w:style>
  <w:style w:type="paragraph" w:customStyle="1" w:styleId="15">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cs="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12"/>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a0"/>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6">
    <w:name w:val="正文1"/>
    <w:qFormat/>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rPr>
  </w:style>
  <w:style w:type="paragraph" w:customStyle="1" w:styleId="410">
    <w:name w:val="标题 41"/>
    <w:basedOn w:val="a"/>
    <w:next w:val="16"/>
    <w:qFormat/>
    <w:pPr>
      <w:keepNext/>
      <w:keepLines/>
      <w:overflowPunct w:val="0"/>
      <w:autoSpaceDE w:val="0"/>
      <w:autoSpaceDN w:val="0"/>
      <w:adjustRightInd w:val="0"/>
      <w:spacing w:before="120" w:after="180"/>
      <w:ind w:left="1418" w:hanging="1418"/>
      <w:jc w:val="left"/>
      <w:textAlignment w:val="baseline"/>
      <w:outlineLvl w:val="3"/>
    </w:pPr>
    <w:rPr>
      <w:rFonts w:ascii="Arial" w:eastAsia="宋体" w:hAnsi="Arial" w:cs="Arial"/>
      <w:kern w:val="0"/>
      <w:sz w:val="24"/>
    </w:rPr>
  </w:style>
  <w:style w:type="paragraph" w:customStyle="1" w:styleId="510">
    <w:name w:val="标题 51"/>
    <w:basedOn w:val="410"/>
    <w:next w:val="16"/>
    <w:qFormat/>
    <w:pPr>
      <w:ind w:left="1701" w:hanging="1701"/>
      <w:outlineLvl w:val="4"/>
    </w:pPr>
    <w:rPr>
      <w:sz w:val="22"/>
      <w:szCs w:val="22"/>
    </w:rPr>
  </w:style>
  <w:style w:type="paragraph" w:customStyle="1" w:styleId="CRCoverPage">
    <w:name w:val="CR Cover Page"/>
    <w:qFormat/>
    <w:pPr>
      <w:spacing w:after="120"/>
    </w:pPr>
    <w:rPr>
      <w:rFonts w:ascii="Arial" w:eastAsia="MS Mincho" w:hAnsi="Arial" w:cs="Times New Roman"/>
      <w:lang w:val="en-GB" w:eastAsia="en-US"/>
    </w:rPr>
  </w:style>
  <w:style w:type="paragraph" w:styleId="afffffff3">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A425BC-2C5F-4D6B-99F5-C3B244871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4472</Words>
  <Characters>25491</Characters>
  <Application>Microsoft Office Word</Application>
  <DocSecurity>0</DocSecurity>
  <Lines>212</Lines>
  <Paragraphs>59</Paragraphs>
  <ScaleCrop>false</ScaleCrop>
  <Company>ZTE</Company>
  <LinksUpToDate>false</LinksUpToDate>
  <CharactersWithSpaces>29904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cp:revision>
  <cp:lastPrinted>2113-01-01T00:00:00Z</cp:lastPrinted>
  <dcterms:created xsi:type="dcterms:W3CDTF">2020-02-14T00:13:00Z</dcterms:created>
  <dcterms:modified xsi:type="dcterms:W3CDTF">2020-08-07T05:33:00Z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